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2B6" w:rsidRDefault="00D172B6" w:rsidP="00D172B6">
      <w:pPr>
        <w:jc w:val="center"/>
        <w:rPr>
          <w:color w:val="FFFFFF"/>
          <w:sz w:val="28"/>
          <w:szCs w:val="28"/>
        </w:rPr>
      </w:pPr>
      <w:r>
        <w:rPr>
          <w:color w:val="FFFFFF"/>
          <w:sz w:val="28"/>
          <w:szCs w:val="28"/>
        </w:rPr>
        <w:t>ЧЕРКАСЬКА</w:t>
      </w:r>
      <w:r>
        <w:rPr>
          <w:noProof/>
          <w:sz w:val="28"/>
          <w:szCs w:val="28"/>
          <w:lang w:val="ru-RU" w:eastAsia="ru-RU"/>
        </w:rPr>
        <w:drawing>
          <wp:inline distT="0" distB="0" distL="0" distR="0">
            <wp:extent cx="428625"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Pr>
          <w:color w:val="FFFFFF"/>
          <w:sz w:val="28"/>
          <w:szCs w:val="28"/>
        </w:rPr>
        <w:t xml:space="preserve"> МІСЬКА РАДА</w:t>
      </w:r>
    </w:p>
    <w:p w:rsidR="00D172B6" w:rsidRDefault="00D172B6" w:rsidP="00D172B6">
      <w:pPr>
        <w:jc w:val="center"/>
        <w:rPr>
          <w:spacing w:val="20"/>
          <w:sz w:val="28"/>
          <w:szCs w:val="28"/>
        </w:rPr>
      </w:pPr>
      <w:r>
        <w:rPr>
          <w:spacing w:val="20"/>
          <w:sz w:val="28"/>
          <w:szCs w:val="28"/>
        </w:rPr>
        <w:t>ЧЕРКАСЬКА МІСЬКА РАДА</w:t>
      </w:r>
    </w:p>
    <w:p w:rsidR="00D172B6" w:rsidRDefault="00D172B6" w:rsidP="00D172B6">
      <w:pPr>
        <w:jc w:val="center"/>
        <w:rPr>
          <w:sz w:val="28"/>
          <w:szCs w:val="28"/>
        </w:rPr>
      </w:pPr>
    </w:p>
    <w:p w:rsidR="00D172B6" w:rsidRDefault="00D172B6" w:rsidP="00D172B6">
      <w:pPr>
        <w:jc w:val="center"/>
        <w:rPr>
          <w:sz w:val="28"/>
          <w:szCs w:val="28"/>
        </w:rPr>
      </w:pPr>
      <w:r>
        <w:rPr>
          <w:sz w:val="28"/>
          <w:szCs w:val="28"/>
        </w:rPr>
        <w:t>ВИКОНАВЧИЙ КОМІТЕТ</w:t>
      </w:r>
    </w:p>
    <w:p w:rsidR="00D172B6" w:rsidRDefault="00D172B6" w:rsidP="00D172B6">
      <w:pPr>
        <w:jc w:val="center"/>
        <w:rPr>
          <w:sz w:val="28"/>
          <w:szCs w:val="28"/>
        </w:rPr>
      </w:pPr>
    </w:p>
    <w:p w:rsidR="00D172B6" w:rsidRDefault="00D172B6" w:rsidP="00D172B6">
      <w:pPr>
        <w:jc w:val="center"/>
        <w:rPr>
          <w:b/>
          <w:sz w:val="28"/>
          <w:szCs w:val="28"/>
        </w:rPr>
      </w:pPr>
      <w:r>
        <w:rPr>
          <w:b/>
          <w:sz w:val="28"/>
          <w:szCs w:val="28"/>
        </w:rPr>
        <w:t>РІШЕННЯ</w:t>
      </w:r>
    </w:p>
    <w:p w:rsidR="00D172B6" w:rsidRDefault="00D172B6" w:rsidP="00D172B6">
      <w:pPr>
        <w:jc w:val="center"/>
        <w:rPr>
          <w:b/>
          <w:sz w:val="28"/>
          <w:szCs w:val="28"/>
        </w:rPr>
      </w:pPr>
    </w:p>
    <w:p w:rsidR="00D172B6" w:rsidRPr="00D172B6" w:rsidRDefault="00D172B6" w:rsidP="00D172B6">
      <w:pPr>
        <w:jc w:val="center"/>
        <w:rPr>
          <w:sz w:val="28"/>
          <w:szCs w:val="28"/>
          <w:lang w:val="en-US"/>
        </w:rPr>
      </w:pPr>
      <w:r>
        <w:rPr>
          <w:sz w:val="28"/>
          <w:szCs w:val="28"/>
        </w:rPr>
        <w:t xml:space="preserve">Від </w:t>
      </w:r>
      <w:r w:rsidRPr="00D172B6">
        <w:rPr>
          <w:sz w:val="28"/>
          <w:szCs w:val="28"/>
          <w:u w:val="single"/>
        </w:rPr>
        <w:t>15</w:t>
      </w:r>
      <w:r>
        <w:rPr>
          <w:sz w:val="28"/>
          <w:szCs w:val="28"/>
          <w:u w:val="single"/>
        </w:rPr>
        <w:t>.</w:t>
      </w:r>
      <w:r w:rsidRPr="00D172B6">
        <w:rPr>
          <w:sz w:val="28"/>
          <w:szCs w:val="28"/>
          <w:u w:val="single"/>
        </w:rPr>
        <w:t>09</w:t>
      </w:r>
      <w:r>
        <w:rPr>
          <w:sz w:val="28"/>
          <w:szCs w:val="28"/>
          <w:u w:val="single"/>
        </w:rPr>
        <w:t>.20</w:t>
      </w:r>
      <w:r w:rsidRPr="00D172B6">
        <w:rPr>
          <w:sz w:val="28"/>
          <w:szCs w:val="28"/>
          <w:u w:val="single"/>
        </w:rPr>
        <w:t>20</w:t>
      </w:r>
      <w:r>
        <w:rPr>
          <w:sz w:val="28"/>
          <w:szCs w:val="28"/>
        </w:rPr>
        <w:t xml:space="preserve"> № </w:t>
      </w:r>
      <w:r w:rsidRPr="00D172B6">
        <w:rPr>
          <w:sz w:val="28"/>
          <w:szCs w:val="28"/>
          <w:u w:val="single"/>
        </w:rPr>
        <w:t>87</w:t>
      </w:r>
      <w:r>
        <w:rPr>
          <w:sz w:val="28"/>
          <w:szCs w:val="28"/>
          <w:u w:val="single"/>
          <w:lang w:val="en-US"/>
        </w:rPr>
        <w:t>5</w:t>
      </w:r>
      <w:bookmarkStart w:id="0" w:name="_GoBack"/>
      <w:bookmarkEnd w:id="0"/>
    </w:p>
    <w:p w:rsidR="008F0DAE" w:rsidRPr="00D172B6" w:rsidRDefault="008F0DAE" w:rsidP="008F0DAE">
      <w:pPr>
        <w:tabs>
          <w:tab w:val="left" w:pos="4111"/>
        </w:tabs>
        <w:ind w:right="5244"/>
        <w:outlineLvl w:val="0"/>
        <w:rPr>
          <w:sz w:val="28"/>
          <w:szCs w:val="28"/>
          <w:lang w:val="en-US"/>
        </w:rPr>
      </w:pPr>
    </w:p>
    <w:p w:rsidR="008F0DAE" w:rsidRPr="0061372C" w:rsidRDefault="008F0DAE" w:rsidP="008F0DAE">
      <w:pPr>
        <w:tabs>
          <w:tab w:val="left" w:pos="4111"/>
        </w:tabs>
        <w:ind w:right="5244"/>
        <w:outlineLvl w:val="0"/>
        <w:rPr>
          <w:sz w:val="28"/>
          <w:szCs w:val="28"/>
        </w:rPr>
      </w:pPr>
    </w:p>
    <w:p w:rsidR="0079349B" w:rsidRPr="0061372C" w:rsidRDefault="0079349B" w:rsidP="008F0DAE">
      <w:pPr>
        <w:tabs>
          <w:tab w:val="left" w:pos="4111"/>
        </w:tabs>
        <w:ind w:right="5244"/>
        <w:outlineLvl w:val="0"/>
        <w:rPr>
          <w:sz w:val="28"/>
          <w:szCs w:val="28"/>
        </w:rPr>
      </w:pPr>
    </w:p>
    <w:p w:rsidR="008F0DAE" w:rsidRPr="0061372C" w:rsidRDefault="008F0DAE" w:rsidP="00966B59">
      <w:pPr>
        <w:pStyle w:val="western"/>
        <w:tabs>
          <w:tab w:val="left" w:pos="4536"/>
          <w:tab w:val="left" w:pos="4678"/>
        </w:tabs>
        <w:spacing w:before="0" w:beforeAutospacing="0" w:after="0" w:afterAutospacing="0"/>
        <w:ind w:right="5669"/>
        <w:jc w:val="both"/>
        <w:rPr>
          <w:sz w:val="28"/>
          <w:szCs w:val="28"/>
          <w:lang w:val="uk-UA"/>
        </w:rPr>
      </w:pPr>
      <w:r w:rsidRPr="0061372C">
        <w:rPr>
          <w:sz w:val="28"/>
          <w:szCs w:val="28"/>
          <w:lang w:val="uk-UA"/>
        </w:rPr>
        <w:t>Про про</w:t>
      </w:r>
      <w:r w:rsidR="003F7396" w:rsidRPr="0061372C">
        <w:rPr>
          <w:sz w:val="28"/>
          <w:szCs w:val="28"/>
          <w:lang w:val="uk-UA"/>
        </w:rPr>
        <w:t>є</w:t>
      </w:r>
      <w:r w:rsidRPr="0061372C">
        <w:rPr>
          <w:sz w:val="28"/>
          <w:szCs w:val="28"/>
          <w:lang w:val="uk-UA"/>
        </w:rPr>
        <w:t>кт рішення міської ради</w:t>
      </w:r>
      <w:r w:rsidR="003F7396" w:rsidRPr="0061372C">
        <w:rPr>
          <w:sz w:val="28"/>
          <w:szCs w:val="28"/>
          <w:lang w:val="uk-UA"/>
        </w:rPr>
        <w:t xml:space="preserve"> </w:t>
      </w:r>
      <w:r w:rsidRPr="0061372C">
        <w:rPr>
          <w:sz w:val="28"/>
          <w:szCs w:val="28"/>
          <w:lang w:val="uk-UA"/>
        </w:rPr>
        <w:t>«</w:t>
      </w:r>
      <w:r w:rsidRPr="0061372C">
        <w:rPr>
          <w:bCs/>
          <w:sz w:val="28"/>
          <w:szCs w:val="27"/>
          <w:lang w:val="uk-UA"/>
        </w:rPr>
        <w:t xml:space="preserve">Про внесення змін до рішення Черкаської міської ради від 12.05.2017 № </w:t>
      </w:r>
      <w:hyperlink r:id="rId7" w:tgtFrame="_blank" w:history="1">
        <w:r w:rsidRPr="0061372C">
          <w:rPr>
            <w:rStyle w:val="a3"/>
            <w:bCs/>
            <w:color w:val="auto"/>
            <w:sz w:val="28"/>
            <w:szCs w:val="27"/>
            <w:u w:val="none"/>
            <w:lang w:val="uk-UA"/>
          </w:rPr>
          <w:t>2-1995</w:t>
        </w:r>
      </w:hyperlink>
      <w:r w:rsidRPr="0061372C">
        <w:rPr>
          <w:bCs/>
          <w:sz w:val="28"/>
          <w:szCs w:val="27"/>
          <w:lang w:val="uk-UA"/>
        </w:rPr>
        <w:t xml:space="preserve"> «Про затвердження Програми для забезпечення виконання рішень суду на 2017-2020 роки»</w:t>
      </w:r>
    </w:p>
    <w:p w:rsidR="008F0DAE" w:rsidRPr="0061372C" w:rsidRDefault="008F0DAE" w:rsidP="008F0DAE">
      <w:pPr>
        <w:rPr>
          <w:sz w:val="28"/>
          <w:szCs w:val="28"/>
        </w:rPr>
      </w:pPr>
    </w:p>
    <w:p w:rsidR="008F0DAE" w:rsidRPr="0061372C" w:rsidRDefault="008F0DAE" w:rsidP="008F0DAE">
      <w:pPr>
        <w:ind w:firstLine="567"/>
        <w:jc w:val="both"/>
        <w:rPr>
          <w:sz w:val="28"/>
          <w:szCs w:val="28"/>
        </w:rPr>
      </w:pPr>
      <w:r w:rsidRPr="0061372C">
        <w:rPr>
          <w:sz w:val="28"/>
          <w:szCs w:val="28"/>
        </w:rPr>
        <w:t xml:space="preserve">Відповідно до статей 27, 32, 34, 52 Закону України «Про місцеве самоврядування в Україні», </w:t>
      </w:r>
      <w:r w:rsidRPr="0061372C">
        <w:rPr>
          <w:sz w:val="28"/>
          <w:szCs w:val="28"/>
          <w:lang w:eastAsia="ru-RU"/>
        </w:rPr>
        <w:t xml:space="preserve">з метою забезпечення погашення заборгованості перед ТОВ «Фрезеніус Медикал Кер України» за послуги з лікування хворих методом гемодіалізу, згідно з </w:t>
      </w:r>
      <w:r w:rsidR="00C02B41" w:rsidRPr="0061372C">
        <w:rPr>
          <w:rStyle w:val="rvts0"/>
          <w:sz w:val="28"/>
          <w:szCs w:val="28"/>
        </w:rPr>
        <w:t>р</w:t>
      </w:r>
      <w:r w:rsidR="00C02B41" w:rsidRPr="0061372C">
        <w:rPr>
          <w:sz w:val="28"/>
          <w:szCs w:val="28"/>
        </w:rPr>
        <w:t>ішен</w:t>
      </w:r>
      <w:r w:rsidR="0006444D" w:rsidRPr="0061372C">
        <w:rPr>
          <w:sz w:val="28"/>
          <w:szCs w:val="28"/>
        </w:rPr>
        <w:t>нями</w:t>
      </w:r>
      <w:r w:rsidR="00C02B41" w:rsidRPr="0061372C">
        <w:rPr>
          <w:sz w:val="28"/>
          <w:szCs w:val="28"/>
        </w:rPr>
        <w:t xml:space="preserve"> господарського суду Черкаської області від 24.09.2019</w:t>
      </w:r>
      <w:r w:rsidR="0006093A" w:rsidRPr="0061372C">
        <w:rPr>
          <w:sz w:val="28"/>
          <w:szCs w:val="28"/>
        </w:rPr>
        <w:t xml:space="preserve"> року та</w:t>
      </w:r>
      <w:r w:rsidR="00C02B41" w:rsidRPr="0061372C">
        <w:rPr>
          <w:sz w:val="28"/>
          <w:szCs w:val="28"/>
        </w:rPr>
        <w:t xml:space="preserve"> від 25.10.2019 </w:t>
      </w:r>
      <w:r w:rsidR="0006093A" w:rsidRPr="0061372C">
        <w:rPr>
          <w:sz w:val="28"/>
          <w:szCs w:val="28"/>
        </w:rPr>
        <w:t xml:space="preserve">року </w:t>
      </w:r>
      <w:r w:rsidR="00C02B41" w:rsidRPr="0061372C">
        <w:rPr>
          <w:sz w:val="28"/>
          <w:szCs w:val="28"/>
        </w:rPr>
        <w:t>по справі №925/446/19, від 01.11.2019</w:t>
      </w:r>
      <w:r w:rsidR="0006093A" w:rsidRPr="0061372C">
        <w:rPr>
          <w:sz w:val="28"/>
          <w:szCs w:val="28"/>
        </w:rPr>
        <w:t xml:space="preserve"> року та</w:t>
      </w:r>
      <w:r w:rsidR="00C02B41" w:rsidRPr="0061372C">
        <w:rPr>
          <w:sz w:val="28"/>
          <w:szCs w:val="28"/>
        </w:rPr>
        <w:t xml:space="preserve"> від 20.11.2019 </w:t>
      </w:r>
      <w:r w:rsidR="0006093A" w:rsidRPr="0061372C">
        <w:rPr>
          <w:sz w:val="28"/>
          <w:szCs w:val="28"/>
        </w:rPr>
        <w:t xml:space="preserve">року </w:t>
      </w:r>
      <w:r w:rsidR="00C02B41" w:rsidRPr="0061372C">
        <w:rPr>
          <w:sz w:val="28"/>
          <w:szCs w:val="28"/>
        </w:rPr>
        <w:t xml:space="preserve">по справі №925/482/19, </w:t>
      </w:r>
      <w:r w:rsidR="005D3706" w:rsidRPr="0061372C">
        <w:rPr>
          <w:rStyle w:val="a5"/>
          <w:b w:val="0"/>
          <w:sz w:val="28"/>
          <w:szCs w:val="28"/>
        </w:rPr>
        <w:t>постановами</w:t>
      </w:r>
      <w:r w:rsidR="005D3706" w:rsidRPr="0061372C">
        <w:rPr>
          <w:sz w:val="28"/>
          <w:szCs w:val="28"/>
        </w:rPr>
        <w:t xml:space="preserve"> Північного апеляційного господарського суду від 06.02.2020 року </w:t>
      </w:r>
      <w:r w:rsidR="0006093A" w:rsidRPr="0061372C">
        <w:rPr>
          <w:sz w:val="28"/>
          <w:szCs w:val="28"/>
        </w:rPr>
        <w:t>та</w:t>
      </w:r>
      <w:r w:rsidRPr="0061372C">
        <w:rPr>
          <w:sz w:val="28"/>
          <w:szCs w:val="28"/>
        </w:rPr>
        <w:t xml:space="preserve"> </w:t>
      </w:r>
      <w:r w:rsidR="005D3706" w:rsidRPr="0061372C">
        <w:rPr>
          <w:sz w:val="28"/>
          <w:szCs w:val="28"/>
        </w:rPr>
        <w:t>від 24.02.2020 року по справі №925/446/19</w:t>
      </w:r>
      <w:r w:rsidR="005D3706" w:rsidRPr="0061372C">
        <w:rPr>
          <w:sz w:val="28"/>
          <w:szCs w:val="28"/>
          <w:lang w:eastAsia="ru-RU"/>
        </w:rPr>
        <w:t xml:space="preserve">, </w:t>
      </w:r>
      <w:r w:rsidR="005D3706" w:rsidRPr="0061372C">
        <w:rPr>
          <w:sz w:val="28"/>
          <w:szCs w:val="28"/>
        </w:rPr>
        <w:t xml:space="preserve">від 10.02.2020 року </w:t>
      </w:r>
      <w:r w:rsidR="0006093A" w:rsidRPr="0061372C">
        <w:rPr>
          <w:sz w:val="28"/>
          <w:szCs w:val="28"/>
        </w:rPr>
        <w:t>та</w:t>
      </w:r>
      <w:r w:rsidR="005D3706" w:rsidRPr="0061372C">
        <w:rPr>
          <w:sz w:val="28"/>
          <w:szCs w:val="28"/>
        </w:rPr>
        <w:t xml:space="preserve"> від 26.02.2020 року по справі №925/482/19, </w:t>
      </w:r>
      <w:r w:rsidRPr="0061372C">
        <w:rPr>
          <w:sz w:val="28"/>
          <w:szCs w:val="28"/>
        </w:rPr>
        <w:t>виконавчий комітет Черкаської міської ради</w:t>
      </w:r>
    </w:p>
    <w:p w:rsidR="008F0DAE" w:rsidRPr="0061372C" w:rsidRDefault="008F0DAE" w:rsidP="008F0DAE">
      <w:pPr>
        <w:jc w:val="both"/>
        <w:outlineLvl w:val="0"/>
        <w:rPr>
          <w:b/>
          <w:sz w:val="28"/>
          <w:szCs w:val="28"/>
        </w:rPr>
      </w:pPr>
      <w:r w:rsidRPr="0061372C">
        <w:rPr>
          <w:b/>
          <w:sz w:val="28"/>
          <w:szCs w:val="28"/>
        </w:rPr>
        <w:t>ВИРІШИВ:</w:t>
      </w:r>
    </w:p>
    <w:p w:rsidR="008F0DAE" w:rsidRPr="0061372C" w:rsidRDefault="008F0DAE" w:rsidP="008F0DAE">
      <w:pPr>
        <w:ind w:firstLine="567"/>
        <w:jc w:val="both"/>
        <w:rPr>
          <w:b/>
          <w:sz w:val="28"/>
          <w:szCs w:val="28"/>
        </w:rPr>
      </w:pPr>
    </w:p>
    <w:p w:rsidR="008F0DAE" w:rsidRPr="0061372C" w:rsidRDefault="008F0DAE" w:rsidP="0090015B">
      <w:pPr>
        <w:pStyle w:val="western"/>
        <w:spacing w:before="0" w:beforeAutospacing="0" w:after="0" w:afterAutospacing="0"/>
        <w:ind w:firstLine="567"/>
        <w:jc w:val="both"/>
        <w:rPr>
          <w:sz w:val="28"/>
          <w:szCs w:val="28"/>
          <w:lang w:val="uk-UA"/>
        </w:rPr>
      </w:pPr>
      <w:r w:rsidRPr="0061372C">
        <w:rPr>
          <w:sz w:val="28"/>
          <w:szCs w:val="28"/>
          <w:lang w:val="uk-UA"/>
        </w:rPr>
        <w:t>1. Погодити і внести на розгляд та затвердження міської ради про</w:t>
      </w:r>
      <w:r w:rsidR="00A53AE1" w:rsidRPr="0061372C">
        <w:rPr>
          <w:sz w:val="28"/>
          <w:szCs w:val="28"/>
          <w:lang w:val="uk-UA"/>
        </w:rPr>
        <w:t>є</w:t>
      </w:r>
      <w:r w:rsidRPr="0061372C">
        <w:rPr>
          <w:sz w:val="28"/>
          <w:szCs w:val="28"/>
          <w:lang w:val="uk-UA"/>
        </w:rPr>
        <w:t>кт рішення «</w:t>
      </w:r>
      <w:r w:rsidRPr="0061372C">
        <w:rPr>
          <w:bCs/>
          <w:sz w:val="28"/>
          <w:szCs w:val="27"/>
          <w:lang w:val="uk-UA"/>
        </w:rPr>
        <w:t xml:space="preserve">Про внесення змін до рішення Черкаської міської ради від 12.05.2017 № </w:t>
      </w:r>
      <w:hyperlink r:id="rId8" w:tgtFrame="_blank" w:history="1">
        <w:r w:rsidRPr="0061372C">
          <w:rPr>
            <w:rStyle w:val="a3"/>
            <w:bCs/>
            <w:color w:val="auto"/>
            <w:sz w:val="28"/>
            <w:szCs w:val="27"/>
            <w:u w:val="none"/>
            <w:lang w:val="uk-UA"/>
          </w:rPr>
          <w:t>2-1995</w:t>
        </w:r>
      </w:hyperlink>
      <w:r w:rsidRPr="0061372C">
        <w:rPr>
          <w:bCs/>
          <w:sz w:val="28"/>
          <w:szCs w:val="27"/>
          <w:lang w:val="uk-UA"/>
        </w:rPr>
        <w:t xml:space="preserve"> «Про затвердження Програми для забезпечення виконання рішень суду на 2017-2020 роки»</w:t>
      </w:r>
    </w:p>
    <w:p w:rsidR="008F0DAE" w:rsidRPr="0061372C" w:rsidRDefault="008F0DAE" w:rsidP="0090015B">
      <w:pPr>
        <w:ind w:firstLine="567"/>
        <w:jc w:val="both"/>
        <w:rPr>
          <w:sz w:val="28"/>
          <w:szCs w:val="28"/>
        </w:rPr>
      </w:pPr>
      <w:r w:rsidRPr="0061372C">
        <w:rPr>
          <w:sz w:val="28"/>
          <w:szCs w:val="28"/>
        </w:rPr>
        <w:t xml:space="preserve">2. Контроль за виконанням рішення покласти на директора департаменту охорони здоров’я та медичних послуг </w:t>
      </w:r>
      <w:r w:rsidR="001A07F2" w:rsidRPr="0061372C">
        <w:rPr>
          <w:sz w:val="28"/>
          <w:szCs w:val="28"/>
        </w:rPr>
        <w:t xml:space="preserve">Кульчиковського В.Е. </w:t>
      </w:r>
    </w:p>
    <w:p w:rsidR="008F0DAE" w:rsidRPr="0061372C" w:rsidRDefault="008F0DAE" w:rsidP="0090015B">
      <w:pPr>
        <w:jc w:val="both"/>
        <w:rPr>
          <w:sz w:val="28"/>
          <w:szCs w:val="28"/>
        </w:rPr>
      </w:pPr>
    </w:p>
    <w:p w:rsidR="008F0DAE" w:rsidRPr="0061372C" w:rsidRDefault="008F0DAE" w:rsidP="008F0DAE">
      <w:pPr>
        <w:jc w:val="both"/>
        <w:rPr>
          <w:sz w:val="28"/>
          <w:szCs w:val="28"/>
        </w:rPr>
      </w:pPr>
    </w:p>
    <w:p w:rsidR="009227DF" w:rsidRPr="0061372C" w:rsidRDefault="008F0DAE" w:rsidP="00A53AE1">
      <w:pPr>
        <w:ind w:right="-1"/>
        <w:rPr>
          <w:sz w:val="28"/>
          <w:szCs w:val="28"/>
        </w:rPr>
        <w:sectPr w:rsidR="009227DF" w:rsidRPr="0061372C" w:rsidSect="00966B59">
          <w:pgSz w:w="11906" w:h="16838"/>
          <w:pgMar w:top="1134" w:right="567" w:bottom="1134" w:left="1134" w:header="709" w:footer="709" w:gutter="0"/>
          <w:cols w:space="708"/>
          <w:docGrid w:linePitch="360"/>
        </w:sectPr>
      </w:pPr>
      <w:r w:rsidRPr="0061372C">
        <w:rPr>
          <w:sz w:val="28"/>
          <w:szCs w:val="28"/>
        </w:rPr>
        <w:t xml:space="preserve">Міський голова                                                          </w:t>
      </w:r>
      <w:r w:rsidR="0090015B" w:rsidRPr="0061372C">
        <w:rPr>
          <w:sz w:val="28"/>
          <w:szCs w:val="28"/>
        </w:rPr>
        <w:t xml:space="preserve">         </w:t>
      </w:r>
      <w:r w:rsidRPr="0061372C">
        <w:rPr>
          <w:sz w:val="28"/>
          <w:szCs w:val="28"/>
        </w:rPr>
        <w:t xml:space="preserve">       </w:t>
      </w:r>
      <w:r w:rsidR="00A53AE1" w:rsidRPr="0061372C">
        <w:rPr>
          <w:sz w:val="28"/>
          <w:szCs w:val="28"/>
        </w:rPr>
        <w:t xml:space="preserve">   </w:t>
      </w:r>
      <w:r w:rsidRPr="0061372C">
        <w:rPr>
          <w:sz w:val="28"/>
          <w:szCs w:val="28"/>
        </w:rPr>
        <w:t xml:space="preserve">           А.В. Бондаренко</w:t>
      </w:r>
    </w:p>
    <w:tbl>
      <w:tblPr>
        <w:tblW w:w="9926" w:type="dxa"/>
        <w:jc w:val="center"/>
        <w:tblCellMar>
          <w:left w:w="0" w:type="dxa"/>
          <w:right w:w="0" w:type="dxa"/>
        </w:tblCellMar>
        <w:tblLook w:val="04A0" w:firstRow="1" w:lastRow="0" w:firstColumn="1" w:lastColumn="0" w:noHBand="0" w:noVBand="1"/>
      </w:tblPr>
      <w:tblGrid>
        <w:gridCol w:w="1599"/>
        <w:gridCol w:w="701"/>
        <w:gridCol w:w="1107"/>
        <w:gridCol w:w="810"/>
        <w:gridCol w:w="1710"/>
        <w:gridCol w:w="778"/>
        <w:gridCol w:w="1065"/>
        <w:gridCol w:w="78"/>
        <w:gridCol w:w="1111"/>
        <w:gridCol w:w="1111"/>
      </w:tblGrid>
      <w:tr w:rsidR="002951D0" w:rsidRPr="0061372C" w:rsidTr="00A3375F">
        <w:trPr>
          <w:jc w:val="center"/>
        </w:trPr>
        <w:tc>
          <w:tcPr>
            <w:tcW w:w="1583" w:type="dxa"/>
            <w:shd w:val="clear" w:color="auto" w:fill="auto"/>
            <w:noWrap/>
            <w:vAlign w:val="center"/>
          </w:tcPr>
          <w:p w:rsidR="002951D0" w:rsidRPr="0061372C" w:rsidRDefault="002951D0" w:rsidP="00A3375F"/>
        </w:tc>
        <w:tc>
          <w:tcPr>
            <w:tcW w:w="685" w:type="dxa"/>
            <w:shd w:val="clear" w:color="auto" w:fill="auto"/>
            <w:noWrap/>
            <w:vAlign w:val="center"/>
          </w:tcPr>
          <w:p w:rsidR="002951D0" w:rsidRPr="0061372C" w:rsidRDefault="002951D0" w:rsidP="00A3375F"/>
        </w:tc>
        <w:tc>
          <w:tcPr>
            <w:tcW w:w="1091" w:type="dxa"/>
            <w:shd w:val="clear" w:color="auto" w:fill="auto"/>
            <w:noWrap/>
            <w:vAlign w:val="center"/>
          </w:tcPr>
          <w:p w:rsidR="002951D0" w:rsidRPr="0061372C" w:rsidRDefault="002951D0" w:rsidP="00A3375F"/>
        </w:tc>
        <w:tc>
          <w:tcPr>
            <w:tcW w:w="794" w:type="dxa"/>
            <w:shd w:val="clear" w:color="auto" w:fill="auto"/>
            <w:noWrap/>
            <w:vAlign w:val="center"/>
          </w:tcPr>
          <w:p w:rsidR="002951D0" w:rsidRPr="0061372C" w:rsidRDefault="002951D0" w:rsidP="00A3375F"/>
        </w:tc>
        <w:tc>
          <w:tcPr>
            <w:tcW w:w="1694" w:type="dxa"/>
            <w:shd w:val="clear" w:color="auto" w:fill="auto"/>
            <w:noWrap/>
            <w:vAlign w:val="center"/>
          </w:tcPr>
          <w:p w:rsidR="002951D0" w:rsidRPr="0061372C" w:rsidRDefault="002951D0" w:rsidP="00A3375F">
            <w:pPr>
              <w:jc w:val="center"/>
            </w:pPr>
          </w:p>
        </w:tc>
        <w:tc>
          <w:tcPr>
            <w:tcW w:w="762" w:type="dxa"/>
            <w:shd w:val="clear" w:color="auto" w:fill="auto"/>
            <w:noWrap/>
            <w:vAlign w:val="center"/>
          </w:tcPr>
          <w:p w:rsidR="002951D0" w:rsidRPr="0061372C" w:rsidRDefault="002951D0" w:rsidP="00A3375F"/>
        </w:tc>
        <w:tc>
          <w:tcPr>
            <w:tcW w:w="1127" w:type="dxa"/>
            <w:gridSpan w:val="2"/>
            <w:tcBorders>
              <w:right w:val="single" w:sz="4" w:space="0" w:color="auto"/>
            </w:tcBorders>
            <w:shd w:val="clear" w:color="auto" w:fill="auto"/>
            <w:noWrap/>
            <w:vAlign w:val="center"/>
          </w:tcPr>
          <w:p w:rsidR="002951D0" w:rsidRPr="0061372C" w:rsidRDefault="002951D0" w:rsidP="00A3375F"/>
        </w:tc>
        <w:tc>
          <w:tcPr>
            <w:tcW w:w="2190" w:type="dxa"/>
            <w:gridSpan w:val="2"/>
            <w:tcBorders>
              <w:top w:val="single" w:sz="4" w:space="0" w:color="auto"/>
              <w:left w:val="single" w:sz="4" w:space="0" w:color="auto"/>
              <w:right w:val="single" w:sz="4" w:space="0" w:color="auto"/>
            </w:tcBorders>
            <w:shd w:val="clear" w:color="auto" w:fill="000000"/>
            <w:noWrap/>
            <w:vAlign w:val="center"/>
          </w:tcPr>
          <w:p w:rsidR="002951D0" w:rsidRPr="0061372C" w:rsidRDefault="002951D0" w:rsidP="008A4EE7">
            <w:pPr>
              <w:rPr>
                <w:b/>
                <w:sz w:val="28"/>
                <w:szCs w:val="28"/>
              </w:rPr>
            </w:pPr>
            <w:r w:rsidRPr="0061372C">
              <w:rPr>
                <w:b/>
                <w:sz w:val="28"/>
                <w:szCs w:val="28"/>
              </w:rPr>
              <w:t>Про</w:t>
            </w:r>
            <w:r w:rsidR="008A4EE7" w:rsidRPr="0061372C">
              <w:rPr>
                <w:b/>
                <w:sz w:val="28"/>
                <w:szCs w:val="28"/>
              </w:rPr>
              <w:t>є</w:t>
            </w:r>
            <w:r w:rsidRPr="0061372C">
              <w:rPr>
                <w:b/>
                <w:sz w:val="28"/>
                <w:szCs w:val="28"/>
              </w:rPr>
              <w:t>кт рішення</w:t>
            </w:r>
          </w:p>
        </w:tc>
      </w:tr>
      <w:tr w:rsidR="002951D0" w:rsidRPr="0061372C" w:rsidTr="00A3375F">
        <w:trPr>
          <w:trHeight w:val="898"/>
          <w:jc w:val="center"/>
        </w:trPr>
        <w:tc>
          <w:tcPr>
            <w:tcW w:w="1583" w:type="dxa"/>
            <w:shd w:val="clear" w:color="auto" w:fill="auto"/>
            <w:noWrap/>
            <w:vAlign w:val="center"/>
          </w:tcPr>
          <w:p w:rsidR="002951D0" w:rsidRPr="0061372C" w:rsidRDefault="002951D0" w:rsidP="00A3375F"/>
        </w:tc>
        <w:tc>
          <w:tcPr>
            <w:tcW w:w="685" w:type="dxa"/>
            <w:shd w:val="clear" w:color="auto" w:fill="auto"/>
            <w:noWrap/>
            <w:vAlign w:val="center"/>
          </w:tcPr>
          <w:p w:rsidR="002951D0" w:rsidRPr="0061372C" w:rsidRDefault="002951D0" w:rsidP="00A3375F"/>
        </w:tc>
        <w:tc>
          <w:tcPr>
            <w:tcW w:w="1091" w:type="dxa"/>
            <w:shd w:val="clear" w:color="auto" w:fill="auto"/>
            <w:noWrap/>
            <w:vAlign w:val="center"/>
          </w:tcPr>
          <w:p w:rsidR="002951D0" w:rsidRPr="0061372C" w:rsidRDefault="002951D0" w:rsidP="00A3375F"/>
        </w:tc>
        <w:tc>
          <w:tcPr>
            <w:tcW w:w="794" w:type="dxa"/>
            <w:shd w:val="clear" w:color="auto" w:fill="auto"/>
            <w:noWrap/>
            <w:vAlign w:val="center"/>
          </w:tcPr>
          <w:p w:rsidR="002951D0" w:rsidRPr="0061372C" w:rsidRDefault="002951D0" w:rsidP="00A3375F"/>
        </w:tc>
        <w:tc>
          <w:tcPr>
            <w:tcW w:w="1694" w:type="dxa"/>
            <w:shd w:val="clear" w:color="auto" w:fill="auto"/>
            <w:noWrap/>
            <w:vAlign w:val="center"/>
          </w:tcPr>
          <w:p w:rsidR="002951D0" w:rsidRPr="0061372C" w:rsidRDefault="002951D0" w:rsidP="00A3375F">
            <w:pPr>
              <w:jc w:val="center"/>
            </w:pPr>
            <w:r w:rsidRPr="0061372C">
              <w:object w:dxaOrig="5279" w:dyaOrig="7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5pt" o:ole="" fillcolor="window">
                  <v:imagedata r:id="rId9" o:title=""/>
                </v:shape>
                <o:OLEObject Type="Embed" ProgID="PBrush" ShapeID="_x0000_i1025" DrawAspect="Content" ObjectID="_1661926114" r:id="rId10"/>
              </w:object>
            </w:r>
          </w:p>
        </w:tc>
        <w:tc>
          <w:tcPr>
            <w:tcW w:w="762" w:type="dxa"/>
            <w:shd w:val="clear" w:color="auto" w:fill="auto"/>
            <w:noWrap/>
            <w:vAlign w:val="center"/>
          </w:tcPr>
          <w:p w:rsidR="002951D0" w:rsidRPr="0061372C" w:rsidRDefault="002951D0" w:rsidP="00A3375F"/>
        </w:tc>
        <w:tc>
          <w:tcPr>
            <w:tcW w:w="1127" w:type="dxa"/>
            <w:gridSpan w:val="2"/>
            <w:tcBorders>
              <w:right w:val="single" w:sz="4" w:space="0" w:color="auto"/>
            </w:tcBorders>
            <w:shd w:val="clear" w:color="auto" w:fill="auto"/>
            <w:noWrap/>
            <w:vAlign w:val="center"/>
          </w:tcPr>
          <w:p w:rsidR="002951D0" w:rsidRPr="0061372C" w:rsidRDefault="002951D0" w:rsidP="00A3375F"/>
        </w:tc>
        <w:tc>
          <w:tcPr>
            <w:tcW w:w="2190" w:type="dxa"/>
            <w:gridSpan w:val="2"/>
            <w:tcBorders>
              <w:left w:val="single" w:sz="4" w:space="0" w:color="auto"/>
              <w:right w:val="single" w:sz="4" w:space="0" w:color="auto"/>
            </w:tcBorders>
            <w:shd w:val="clear" w:color="auto" w:fill="FFFFFF"/>
            <w:noWrap/>
            <w:vAlign w:val="center"/>
          </w:tcPr>
          <w:p w:rsidR="002951D0" w:rsidRPr="0061372C" w:rsidRDefault="002951D0" w:rsidP="00A3375F">
            <w:pPr>
              <w:rPr>
                <w:b/>
                <w:sz w:val="36"/>
                <w:szCs w:val="36"/>
              </w:rPr>
            </w:pPr>
            <w:r w:rsidRPr="0061372C">
              <w:rPr>
                <w:b/>
                <w:sz w:val="36"/>
                <w:szCs w:val="36"/>
              </w:rPr>
              <w:t xml:space="preserve">№ </w:t>
            </w:r>
          </w:p>
        </w:tc>
      </w:tr>
      <w:tr w:rsidR="002951D0" w:rsidRPr="0061372C" w:rsidTr="00A3375F">
        <w:trPr>
          <w:jc w:val="center"/>
        </w:trPr>
        <w:tc>
          <w:tcPr>
            <w:tcW w:w="1583" w:type="dxa"/>
            <w:shd w:val="clear" w:color="auto" w:fill="auto"/>
            <w:noWrap/>
            <w:vAlign w:val="center"/>
          </w:tcPr>
          <w:p w:rsidR="002951D0" w:rsidRPr="0061372C" w:rsidRDefault="002951D0" w:rsidP="00A3375F"/>
        </w:tc>
        <w:tc>
          <w:tcPr>
            <w:tcW w:w="685" w:type="dxa"/>
            <w:shd w:val="clear" w:color="auto" w:fill="auto"/>
            <w:noWrap/>
            <w:vAlign w:val="center"/>
          </w:tcPr>
          <w:p w:rsidR="002951D0" w:rsidRPr="0061372C" w:rsidRDefault="002951D0" w:rsidP="00A3375F"/>
        </w:tc>
        <w:tc>
          <w:tcPr>
            <w:tcW w:w="5468" w:type="dxa"/>
            <w:gridSpan w:val="6"/>
            <w:shd w:val="clear" w:color="auto" w:fill="auto"/>
            <w:noWrap/>
            <w:vAlign w:val="center"/>
          </w:tcPr>
          <w:p w:rsidR="002951D0" w:rsidRPr="0061372C" w:rsidRDefault="002951D0" w:rsidP="00A3375F">
            <w:pPr>
              <w:jc w:val="center"/>
            </w:pPr>
            <w:r w:rsidRPr="0061372C">
              <w:rPr>
                <w:sz w:val="36"/>
                <w:szCs w:val="36"/>
              </w:rPr>
              <w:t>ЧЕРКАСЬКА МІСЬКА РАДА</w:t>
            </w:r>
          </w:p>
        </w:tc>
        <w:tc>
          <w:tcPr>
            <w:tcW w:w="1095" w:type="dxa"/>
            <w:tcBorders>
              <w:top w:val="single" w:sz="4" w:space="0" w:color="auto"/>
            </w:tcBorders>
            <w:shd w:val="clear" w:color="auto" w:fill="auto"/>
            <w:noWrap/>
            <w:vAlign w:val="center"/>
          </w:tcPr>
          <w:p w:rsidR="002951D0" w:rsidRPr="0061372C" w:rsidRDefault="002951D0" w:rsidP="00A3375F"/>
        </w:tc>
        <w:tc>
          <w:tcPr>
            <w:tcW w:w="1095" w:type="dxa"/>
            <w:tcBorders>
              <w:top w:val="single" w:sz="4" w:space="0" w:color="auto"/>
            </w:tcBorders>
            <w:shd w:val="clear" w:color="auto" w:fill="auto"/>
            <w:noWrap/>
            <w:vAlign w:val="center"/>
          </w:tcPr>
          <w:p w:rsidR="002951D0" w:rsidRPr="0061372C" w:rsidRDefault="002951D0" w:rsidP="00A3375F"/>
        </w:tc>
      </w:tr>
      <w:tr w:rsidR="002951D0" w:rsidRPr="0061372C" w:rsidTr="00A3375F">
        <w:trPr>
          <w:jc w:val="center"/>
        </w:trPr>
        <w:tc>
          <w:tcPr>
            <w:tcW w:w="1583" w:type="dxa"/>
            <w:shd w:val="clear" w:color="auto" w:fill="auto"/>
            <w:noWrap/>
            <w:vAlign w:val="center"/>
          </w:tcPr>
          <w:p w:rsidR="002951D0" w:rsidRPr="0061372C" w:rsidRDefault="002951D0" w:rsidP="00A3375F">
            <w:r w:rsidRPr="0061372C">
              <w:t>&lt;</w:t>
            </w:r>
          </w:p>
        </w:tc>
        <w:tc>
          <w:tcPr>
            <w:tcW w:w="685" w:type="dxa"/>
            <w:shd w:val="clear" w:color="auto" w:fill="auto"/>
            <w:noWrap/>
            <w:vAlign w:val="center"/>
          </w:tcPr>
          <w:p w:rsidR="002951D0" w:rsidRPr="0061372C" w:rsidRDefault="002951D0" w:rsidP="00A3375F"/>
        </w:tc>
        <w:tc>
          <w:tcPr>
            <w:tcW w:w="1091" w:type="dxa"/>
            <w:shd w:val="clear" w:color="auto" w:fill="auto"/>
            <w:noWrap/>
            <w:vAlign w:val="center"/>
          </w:tcPr>
          <w:p w:rsidR="002951D0" w:rsidRPr="0061372C" w:rsidRDefault="002951D0" w:rsidP="00A3375F"/>
        </w:tc>
        <w:tc>
          <w:tcPr>
            <w:tcW w:w="794" w:type="dxa"/>
            <w:shd w:val="clear" w:color="auto" w:fill="auto"/>
            <w:noWrap/>
            <w:vAlign w:val="center"/>
          </w:tcPr>
          <w:p w:rsidR="002951D0" w:rsidRPr="0061372C" w:rsidRDefault="002951D0" w:rsidP="00A3375F"/>
        </w:tc>
        <w:tc>
          <w:tcPr>
            <w:tcW w:w="1694" w:type="dxa"/>
            <w:shd w:val="clear" w:color="auto" w:fill="auto"/>
            <w:noWrap/>
            <w:vAlign w:val="center"/>
          </w:tcPr>
          <w:p w:rsidR="002951D0" w:rsidRPr="0061372C" w:rsidRDefault="002951D0" w:rsidP="00A3375F"/>
        </w:tc>
        <w:tc>
          <w:tcPr>
            <w:tcW w:w="762" w:type="dxa"/>
            <w:shd w:val="clear" w:color="auto" w:fill="auto"/>
            <w:noWrap/>
            <w:vAlign w:val="center"/>
          </w:tcPr>
          <w:p w:rsidR="002951D0" w:rsidRPr="0061372C" w:rsidRDefault="002951D0" w:rsidP="00A3375F"/>
        </w:tc>
        <w:tc>
          <w:tcPr>
            <w:tcW w:w="1127" w:type="dxa"/>
            <w:gridSpan w:val="2"/>
            <w:shd w:val="clear" w:color="auto" w:fill="auto"/>
            <w:noWrap/>
            <w:vAlign w:val="center"/>
          </w:tcPr>
          <w:p w:rsidR="002951D0" w:rsidRPr="0061372C" w:rsidRDefault="002951D0" w:rsidP="00A3375F"/>
        </w:tc>
        <w:tc>
          <w:tcPr>
            <w:tcW w:w="1095" w:type="dxa"/>
            <w:shd w:val="clear" w:color="auto" w:fill="auto"/>
            <w:noWrap/>
            <w:vAlign w:val="center"/>
          </w:tcPr>
          <w:p w:rsidR="002951D0" w:rsidRPr="0061372C" w:rsidRDefault="002951D0" w:rsidP="00A3375F"/>
        </w:tc>
        <w:tc>
          <w:tcPr>
            <w:tcW w:w="1095" w:type="dxa"/>
            <w:shd w:val="clear" w:color="auto" w:fill="auto"/>
            <w:noWrap/>
            <w:vAlign w:val="center"/>
          </w:tcPr>
          <w:p w:rsidR="002951D0" w:rsidRPr="0061372C" w:rsidRDefault="002951D0" w:rsidP="00A3375F"/>
        </w:tc>
      </w:tr>
      <w:tr w:rsidR="002951D0" w:rsidRPr="0061372C" w:rsidTr="00A3375F">
        <w:trPr>
          <w:jc w:val="center"/>
        </w:trPr>
        <w:tc>
          <w:tcPr>
            <w:tcW w:w="1583" w:type="dxa"/>
            <w:shd w:val="clear" w:color="auto" w:fill="auto"/>
            <w:noWrap/>
            <w:vAlign w:val="center"/>
          </w:tcPr>
          <w:p w:rsidR="002951D0" w:rsidRPr="0061372C" w:rsidRDefault="002951D0" w:rsidP="00A3375F"/>
        </w:tc>
        <w:tc>
          <w:tcPr>
            <w:tcW w:w="685" w:type="dxa"/>
            <w:shd w:val="clear" w:color="auto" w:fill="auto"/>
            <w:noWrap/>
            <w:vAlign w:val="center"/>
          </w:tcPr>
          <w:p w:rsidR="002951D0" w:rsidRPr="0061372C" w:rsidRDefault="002951D0" w:rsidP="00A3375F"/>
        </w:tc>
        <w:tc>
          <w:tcPr>
            <w:tcW w:w="1091" w:type="dxa"/>
            <w:shd w:val="clear" w:color="auto" w:fill="auto"/>
            <w:noWrap/>
            <w:vAlign w:val="center"/>
          </w:tcPr>
          <w:p w:rsidR="002951D0" w:rsidRPr="0061372C" w:rsidRDefault="002951D0" w:rsidP="00A3375F"/>
        </w:tc>
        <w:tc>
          <w:tcPr>
            <w:tcW w:w="794" w:type="dxa"/>
            <w:shd w:val="clear" w:color="auto" w:fill="auto"/>
            <w:noWrap/>
            <w:vAlign w:val="center"/>
          </w:tcPr>
          <w:p w:rsidR="002951D0" w:rsidRPr="0061372C" w:rsidRDefault="002951D0" w:rsidP="00A3375F"/>
        </w:tc>
        <w:tc>
          <w:tcPr>
            <w:tcW w:w="1694" w:type="dxa"/>
            <w:shd w:val="clear" w:color="auto" w:fill="auto"/>
            <w:noWrap/>
            <w:vAlign w:val="center"/>
          </w:tcPr>
          <w:p w:rsidR="002951D0" w:rsidRPr="0061372C" w:rsidRDefault="002951D0" w:rsidP="00A3375F"/>
        </w:tc>
        <w:tc>
          <w:tcPr>
            <w:tcW w:w="762" w:type="dxa"/>
            <w:shd w:val="clear" w:color="auto" w:fill="auto"/>
            <w:noWrap/>
            <w:vAlign w:val="center"/>
          </w:tcPr>
          <w:p w:rsidR="002951D0" w:rsidRPr="0061372C" w:rsidRDefault="002951D0" w:rsidP="00A3375F"/>
        </w:tc>
        <w:tc>
          <w:tcPr>
            <w:tcW w:w="1127" w:type="dxa"/>
            <w:gridSpan w:val="2"/>
            <w:shd w:val="clear" w:color="auto" w:fill="auto"/>
            <w:noWrap/>
            <w:vAlign w:val="center"/>
          </w:tcPr>
          <w:p w:rsidR="002951D0" w:rsidRPr="0061372C" w:rsidRDefault="002951D0" w:rsidP="00A3375F"/>
        </w:tc>
        <w:tc>
          <w:tcPr>
            <w:tcW w:w="1095" w:type="dxa"/>
            <w:shd w:val="clear" w:color="auto" w:fill="auto"/>
            <w:noWrap/>
            <w:vAlign w:val="center"/>
          </w:tcPr>
          <w:p w:rsidR="002951D0" w:rsidRPr="0061372C" w:rsidRDefault="002951D0" w:rsidP="00A3375F"/>
        </w:tc>
        <w:tc>
          <w:tcPr>
            <w:tcW w:w="1095" w:type="dxa"/>
            <w:shd w:val="clear" w:color="auto" w:fill="auto"/>
            <w:noWrap/>
            <w:vAlign w:val="center"/>
          </w:tcPr>
          <w:p w:rsidR="002951D0" w:rsidRPr="0061372C" w:rsidRDefault="002951D0" w:rsidP="00A3375F"/>
        </w:tc>
      </w:tr>
      <w:tr w:rsidR="002951D0" w:rsidRPr="0061372C" w:rsidTr="00A3375F">
        <w:trPr>
          <w:jc w:val="center"/>
        </w:trPr>
        <w:tc>
          <w:tcPr>
            <w:tcW w:w="4153" w:type="dxa"/>
            <w:gridSpan w:val="4"/>
            <w:shd w:val="clear" w:color="auto" w:fill="auto"/>
            <w:noWrap/>
            <w:tcMar>
              <w:left w:w="28" w:type="dxa"/>
              <w:right w:w="28" w:type="dxa"/>
            </w:tcMar>
            <w:vAlign w:val="center"/>
          </w:tcPr>
          <w:p w:rsidR="002951D0" w:rsidRPr="0061372C" w:rsidRDefault="002951D0" w:rsidP="00344E96">
            <w:pPr>
              <w:pStyle w:val="western"/>
              <w:spacing w:before="0" w:beforeAutospacing="0" w:after="0" w:afterAutospacing="0"/>
              <w:jc w:val="both"/>
              <w:rPr>
                <w:sz w:val="28"/>
                <w:lang w:val="uk-UA"/>
              </w:rPr>
            </w:pPr>
            <w:r w:rsidRPr="0061372C">
              <w:rPr>
                <w:b/>
                <w:bCs/>
                <w:sz w:val="28"/>
                <w:szCs w:val="27"/>
                <w:lang w:val="uk-UA"/>
              </w:rPr>
              <w:t>Про внесення змін до рішення</w:t>
            </w:r>
            <w:r w:rsidR="00344E96" w:rsidRPr="0061372C">
              <w:rPr>
                <w:b/>
                <w:bCs/>
                <w:sz w:val="28"/>
                <w:szCs w:val="27"/>
                <w:lang w:val="uk-UA"/>
              </w:rPr>
              <w:t xml:space="preserve"> </w:t>
            </w:r>
            <w:r w:rsidRPr="0061372C">
              <w:rPr>
                <w:b/>
                <w:bCs/>
                <w:sz w:val="28"/>
                <w:szCs w:val="27"/>
                <w:lang w:val="uk-UA"/>
              </w:rPr>
              <w:t xml:space="preserve">Черкаської міської ради від 12.05.2017 № </w:t>
            </w:r>
            <w:hyperlink r:id="rId11" w:tgtFrame="_blank" w:history="1">
              <w:r w:rsidRPr="0061372C">
                <w:rPr>
                  <w:rStyle w:val="a3"/>
                  <w:b/>
                  <w:bCs/>
                  <w:color w:val="auto"/>
                  <w:sz w:val="28"/>
                  <w:szCs w:val="27"/>
                  <w:u w:val="none"/>
                  <w:lang w:val="uk-UA"/>
                </w:rPr>
                <w:t>2-1995</w:t>
              </w:r>
            </w:hyperlink>
            <w:r w:rsidRPr="0061372C">
              <w:rPr>
                <w:b/>
                <w:bCs/>
                <w:sz w:val="28"/>
                <w:szCs w:val="27"/>
                <w:lang w:val="uk-UA"/>
              </w:rPr>
              <w:t xml:space="preserve"> «Про затвердження Програми для забезпечення виконання рішень суду на 2017-2020 роки»</w:t>
            </w:r>
          </w:p>
        </w:tc>
        <w:tc>
          <w:tcPr>
            <w:tcW w:w="1694" w:type="dxa"/>
            <w:shd w:val="clear" w:color="auto" w:fill="auto"/>
            <w:noWrap/>
            <w:tcMar>
              <w:left w:w="28" w:type="dxa"/>
              <w:right w:w="28" w:type="dxa"/>
            </w:tcMar>
            <w:vAlign w:val="center"/>
          </w:tcPr>
          <w:p w:rsidR="002951D0" w:rsidRPr="0061372C" w:rsidRDefault="002951D0" w:rsidP="00A3375F"/>
        </w:tc>
        <w:tc>
          <w:tcPr>
            <w:tcW w:w="762" w:type="dxa"/>
            <w:shd w:val="clear" w:color="auto" w:fill="auto"/>
            <w:noWrap/>
            <w:tcMar>
              <w:left w:w="28" w:type="dxa"/>
              <w:right w:w="28" w:type="dxa"/>
            </w:tcMar>
            <w:vAlign w:val="center"/>
          </w:tcPr>
          <w:p w:rsidR="002951D0" w:rsidRPr="0061372C" w:rsidRDefault="002951D0" w:rsidP="00A3375F"/>
        </w:tc>
        <w:tc>
          <w:tcPr>
            <w:tcW w:w="1127" w:type="dxa"/>
            <w:gridSpan w:val="2"/>
            <w:shd w:val="clear" w:color="auto" w:fill="auto"/>
            <w:noWrap/>
            <w:tcMar>
              <w:left w:w="28" w:type="dxa"/>
              <w:right w:w="28" w:type="dxa"/>
            </w:tcMar>
            <w:vAlign w:val="center"/>
          </w:tcPr>
          <w:p w:rsidR="002951D0" w:rsidRPr="0061372C" w:rsidRDefault="002951D0" w:rsidP="00A3375F"/>
        </w:tc>
        <w:tc>
          <w:tcPr>
            <w:tcW w:w="1095" w:type="dxa"/>
            <w:shd w:val="clear" w:color="auto" w:fill="auto"/>
            <w:noWrap/>
            <w:tcMar>
              <w:left w:w="28" w:type="dxa"/>
              <w:right w:w="28" w:type="dxa"/>
            </w:tcMar>
            <w:vAlign w:val="center"/>
          </w:tcPr>
          <w:p w:rsidR="002951D0" w:rsidRPr="0061372C" w:rsidRDefault="002951D0" w:rsidP="00A3375F"/>
        </w:tc>
        <w:tc>
          <w:tcPr>
            <w:tcW w:w="1095" w:type="dxa"/>
            <w:shd w:val="clear" w:color="auto" w:fill="auto"/>
            <w:noWrap/>
            <w:tcMar>
              <w:left w:w="28" w:type="dxa"/>
              <w:right w:w="28" w:type="dxa"/>
            </w:tcMar>
            <w:vAlign w:val="center"/>
          </w:tcPr>
          <w:p w:rsidR="002951D0" w:rsidRPr="0061372C" w:rsidRDefault="002951D0" w:rsidP="00A3375F"/>
        </w:tc>
      </w:tr>
      <w:tr w:rsidR="002951D0" w:rsidRPr="0061372C" w:rsidTr="00A3375F">
        <w:trPr>
          <w:jc w:val="center"/>
        </w:trPr>
        <w:tc>
          <w:tcPr>
            <w:tcW w:w="1583" w:type="dxa"/>
            <w:shd w:val="clear" w:color="auto" w:fill="auto"/>
            <w:noWrap/>
            <w:vAlign w:val="center"/>
          </w:tcPr>
          <w:p w:rsidR="002951D0" w:rsidRPr="0061372C" w:rsidRDefault="002951D0" w:rsidP="00A3375F">
            <w:r w:rsidRPr="0061372C">
              <w:t>&gt;</w:t>
            </w:r>
          </w:p>
        </w:tc>
        <w:tc>
          <w:tcPr>
            <w:tcW w:w="685" w:type="dxa"/>
            <w:shd w:val="clear" w:color="auto" w:fill="auto"/>
            <w:noWrap/>
            <w:vAlign w:val="center"/>
          </w:tcPr>
          <w:p w:rsidR="002951D0" w:rsidRPr="0061372C" w:rsidRDefault="002951D0" w:rsidP="00A3375F"/>
        </w:tc>
        <w:tc>
          <w:tcPr>
            <w:tcW w:w="1091" w:type="dxa"/>
            <w:shd w:val="clear" w:color="auto" w:fill="auto"/>
            <w:noWrap/>
            <w:vAlign w:val="center"/>
          </w:tcPr>
          <w:p w:rsidR="002951D0" w:rsidRPr="0061372C" w:rsidRDefault="002951D0" w:rsidP="00A3375F"/>
        </w:tc>
        <w:tc>
          <w:tcPr>
            <w:tcW w:w="794" w:type="dxa"/>
            <w:shd w:val="clear" w:color="auto" w:fill="auto"/>
            <w:noWrap/>
            <w:vAlign w:val="center"/>
          </w:tcPr>
          <w:p w:rsidR="002951D0" w:rsidRPr="0061372C" w:rsidRDefault="002951D0" w:rsidP="00A3375F"/>
        </w:tc>
        <w:tc>
          <w:tcPr>
            <w:tcW w:w="1694" w:type="dxa"/>
            <w:shd w:val="clear" w:color="auto" w:fill="auto"/>
            <w:noWrap/>
            <w:vAlign w:val="center"/>
          </w:tcPr>
          <w:p w:rsidR="002951D0" w:rsidRPr="0061372C" w:rsidRDefault="002951D0" w:rsidP="00A3375F"/>
        </w:tc>
        <w:tc>
          <w:tcPr>
            <w:tcW w:w="762" w:type="dxa"/>
            <w:shd w:val="clear" w:color="auto" w:fill="auto"/>
            <w:noWrap/>
            <w:vAlign w:val="center"/>
          </w:tcPr>
          <w:p w:rsidR="002951D0" w:rsidRPr="0061372C" w:rsidRDefault="002951D0" w:rsidP="00A3375F"/>
        </w:tc>
        <w:tc>
          <w:tcPr>
            <w:tcW w:w="1127" w:type="dxa"/>
            <w:gridSpan w:val="2"/>
            <w:shd w:val="clear" w:color="auto" w:fill="auto"/>
            <w:noWrap/>
            <w:vAlign w:val="center"/>
          </w:tcPr>
          <w:p w:rsidR="002951D0" w:rsidRPr="0061372C" w:rsidRDefault="002951D0" w:rsidP="00A3375F"/>
        </w:tc>
        <w:tc>
          <w:tcPr>
            <w:tcW w:w="1095" w:type="dxa"/>
            <w:shd w:val="clear" w:color="auto" w:fill="auto"/>
            <w:noWrap/>
            <w:vAlign w:val="center"/>
          </w:tcPr>
          <w:p w:rsidR="002951D0" w:rsidRPr="0061372C" w:rsidRDefault="002951D0" w:rsidP="00A3375F"/>
        </w:tc>
        <w:tc>
          <w:tcPr>
            <w:tcW w:w="1095" w:type="dxa"/>
            <w:shd w:val="clear" w:color="auto" w:fill="auto"/>
            <w:noWrap/>
            <w:vAlign w:val="center"/>
          </w:tcPr>
          <w:p w:rsidR="002951D0" w:rsidRPr="0061372C" w:rsidRDefault="002951D0" w:rsidP="00A3375F"/>
        </w:tc>
      </w:tr>
      <w:tr w:rsidR="002951D0" w:rsidRPr="0061372C" w:rsidTr="00A3375F">
        <w:trPr>
          <w:jc w:val="center"/>
        </w:trPr>
        <w:tc>
          <w:tcPr>
            <w:tcW w:w="1583" w:type="dxa"/>
            <w:shd w:val="clear" w:color="auto" w:fill="auto"/>
            <w:noWrap/>
            <w:vAlign w:val="center"/>
          </w:tcPr>
          <w:p w:rsidR="002951D0" w:rsidRPr="0061372C" w:rsidRDefault="002951D0" w:rsidP="00A3375F"/>
        </w:tc>
        <w:tc>
          <w:tcPr>
            <w:tcW w:w="685" w:type="dxa"/>
            <w:shd w:val="clear" w:color="auto" w:fill="auto"/>
            <w:noWrap/>
            <w:vAlign w:val="center"/>
          </w:tcPr>
          <w:p w:rsidR="002951D0" w:rsidRPr="0061372C" w:rsidRDefault="002951D0" w:rsidP="00A3375F"/>
        </w:tc>
        <w:tc>
          <w:tcPr>
            <w:tcW w:w="1091" w:type="dxa"/>
            <w:shd w:val="clear" w:color="auto" w:fill="auto"/>
            <w:noWrap/>
            <w:vAlign w:val="center"/>
          </w:tcPr>
          <w:p w:rsidR="002951D0" w:rsidRPr="0061372C" w:rsidRDefault="002951D0" w:rsidP="00A3375F"/>
        </w:tc>
        <w:tc>
          <w:tcPr>
            <w:tcW w:w="794" w:type="dxa"/>
            <w:shd w:val="clear" w:color="auto" w:fill="auto"/>
            <w:noWrap/>
            <w:vAlign w:val="center"/>
          </w:tcPr>
          <w:p w:rsidR="002951D0" w:rsidRPr="0061372C" w:rsidRDefault="002951D0" w:rsidP="00A3375F"/>
        </w:tc>
        <w:tc>
          <w:tcPr>
            <w:tcW w:w="1694" w:type="dxa"/>
            <w:shd w:val="clear" w:color="auto" w:fill="auto"/>
            <w:noWrap/>
            <w:vAlign w:val="center"/>
          </w:tcPr>
          <w:p w:rsidR="002951D0" w:rsidRPr="0061372C" w:rsidRDefault="002951D0" w:rsidP="00A3375F"/>
        </w:tc>
        <w:tc>
          <w:tcPr>
            <w:tcW w:w="762" w:type="dxa"/>
            <w:shd w:val="clear" w:color="auto" w:fill="auto"/>
            <w:noWrap/>
            <w:vAlign w:val="center"/>
          </w:tcPr>
          <w:p w:rsidR="002951D0" w:rsidRPr="0061372C" w:rsidRDefault="002951D0" w:rsidP="00A3375F"/>
        </w:tc>
        <w:tc>
          <w:tcPr>
            <w:tcW w:w="1127" w:type="dxa"/>
            <w:gridSpan w:val="2"/>
            <w:shd w:val="clear" w:color="auto" w:fill="auto"/>
            <w:noWrap/>
            <w:vAlign w:val="center"/>
          </w:tcPr>
          <w:p w:rsidR="002951D0" w:rsidRPr="0061372C" w:rsidRDefault="002951D0" w:rsidP="00A3375F"/>
        </w:tc>
        <w:tc>
          <w:tcPr>
            <w:tcW w:w="1095" w:type="dxa"/>
            <w:shd w:val="clear" w:color="auto" w:fill="auto"/>
            <w:noWrap/>
            <w:vAlign w:val="center"/>
          </w:tcPr>
          <w:p w:rsidR="002951D0" w:rsidRPr="0061372C" w:rsidRDefault="002951D0" w:rsidP="00A3375F"/>
        </w:tc>
        <w:tc>
          <w:tcPr>
            <w:tcW w:w="1095" w:type="dxa"/>
            <w:shd w:val="clear" w:color="auto" w:fill="auto"/>
            <w:noWrap/>
            <w:vAlign w:val="center"/>
          </w:tcPr>
          <w:p w:rsidR="002951D0" w:rsidRPr="0061372C" w:rsidRDefault="002951D0" w:rsidP="00A3375F"/>
        </w:tc>
      </w:tr>
      <w:tr w:rsidR="002951D0" w:rsidRPr="0061372C" w:rsidTr="00A3375F">
        <w:trPr>
          <w:jc w:val="center"/>
        </w:trPr>
        <w:tc>
          <w:tcPr>
            <w:tcW w:w="9926" w:type="dxa"/>
            <w:gridSpan w:val="10"/>
            <w:shd w:val="clear" w:color="auto" w:fill="auto"/>
            <w:noWrap/>
            <w:vAlign w:val="center"/>
          </w:tcPr>
          <w:p w:rsidR="002951D0" w:rsidRPr="0061372C" w:rsidRDefault="002951D0" w:rsidP="00A3375F">
            <w:pPr>
              <w:ind w:right="111" w:firstLine="709"/>
              <w:jc w:val="both"/>
              <w:rPr>
                <w:sz w:val="28"/>
                <w:szCs w:val="28"/>
              </w:rPr>
            </w:pPr>
            <w:r w:rsidRPr="0061372C">
              <w:rPr>
                <w:sz w:val="28"/>
                <w:szCs w:val="28"/>
              </w:rPr>
              <w:t>З метою забезпечення виконання рішень суду, керуючись статтями 26, 59 Закону України «Про місцеве самоврядування в Україні», відповідно до підпункту 3 пункту 9 розділу VI «Прикінцеві та перехідні положення» Бюджетного кодексу України, статті 27 Закону України «Про виконавче провадження», пункту 25 постанови Кабінету Міністрів України від 03.08.2011 року № 845 «Про затвердження Порядку виконання рішень про стягнення коштів державного та місцевого бюджетів або боржників», Черкаська міська рада</w:t>
            </w:r>
          </w:p>
          <w:p w:rsidR="002951D0" w:rsidRPr="0061372C" w:rsidRDefault="002951D0" w:rsidP="00A3375F">
            <w:pPr>
              <w:ind w:right="111"/>
              <w:jc w:val="both"/>
              <w:rPr>
                <w:b/>
                <w:sz w:val="28"/>
                <w:szCs w:val="28"/>
              </w:rPr>
            </w:pPr>
            <w:r w:rsidRPr="0061372C">
              <w:rPr>
                <w:b/>
                <w:sz w:val="28"/>
                <w:szCs w:val="28"/>
              </w:rPr>
              <w:t>ВИРІШИЛА:</w:t>
            </w:r>
          </w:p>
          <w:p w:rsidR="002951D0" w:rsidRPr="0061372C" w:rsidRDefault="002951D0" w:rsidP="00A3375F">
            <w:pPr>
              <w:ind w:left="5" w:right="111"/>
              <w:jc w:val="both"/>
              <w:rPr>
                <w:sz w:val="28"/>
                <w:szCs w:val="28"/>
              </w:rPr>
            </w:pPr>
          </w:p>
          <w:p w:rsidR="002951D0" w:rsidRPr="0061372C" w:rsidRDefault="002951D0" w:rsidP="00B70051">
            <w:pPr>
              <w:numPr>
                <w:ilvl w:val="0"/>
                <w:numId w:val="2"/>
              </w:numPr>
              <w:tabs>
                <w:tab w:val="clear" w:pos="495"/>
                <w:tab w:val="num" w:pos="3"/>
              </w:tabs>
              <w:ind w:left="0" w:firstLine="720"/>
              <w:contextualSpacing/>
              <w:jc w:val="both"/>
              <w:rPr>
                <w:sz w:val="28"/>
                <w:szCs w:val="28"/>
              </w:rPr>
            </w:pPr>
            <w:r w:rsidRPr="0061372C">
              <w:rPr>
                <w:sz w:val="28"/>
                <w:szCs w:val="28"/>
              </w:rPr>
              <w:t xml:space="preserve">Внести зміни до рішення Черкаської міської ради від 12.05.2017 № </w:t>
            </w:r>
            <w:hyperlink r:id="rId12" w:tgtFrame="_blank" w:history="1">
              <w:r w:rsidRPr="0061372C">
                <w:rPr>
                  <w:rStyle w:val="a3"/>
                  <w:color w:val="auto"/>
                  <w:sz w:val="28"/>
                  <w:szCs w:val="28"/>
                  <w:u w:val="none"/>
                </w:rPr>
                <w:t>2-1995</w:t>
              </w:r>
            </w:hyperlink>
            <w:r w:rsidRPr="0061372C">
              <w:rPr>
                <w:sz w:val="28"/>
                <w:szCs w:val="28"/>
              </w:rPr>
              <w:t xml:space="preserve"> «Про затвердження Програми для забезпечення виконання рішень суду на 2017-2020 роки», а саме:</w:t>
            </w:r>
          </w:p>
          <w:p w:rsidR="00CC435C" w:rsidRPr="0061372C" w:rsidRDefault="00CC435C" w:rsidP="00F9747A">
            <w:pPr>
              <w:pStyle w:val="western"/>
              <w:spacing w:before="0" w:beforeAutospacing="0" w:after="0" w:afterAutospacing="0"/>
              <w:ind w:firstLine="642"/>
              <w:contextualSpacing/>
              <w:rPr>
                <w:sz w:val="28"/>
                <w:szCs w:val="28"/>
                <w:lang w:val="uk-UA"/>
              </w:rPr>
            </w:pPr>
            <w:r w:rsidRPr="0061372C">
              <w:rPr>
                <w:sz w:val="28"/>
                <w:szCs w:val="28"/>
                <w:lang w:val="uk-UA"/>
              </w:rPr>
              <w:t>Викласти розділ VІІІ Індикатори реалізації Програми у такій редакції:</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4204"/>
              <w:gridCol w:w="1347"/>
              <w:gridCol w:w="1490"/>
              <w:gridCol w:w="1430"/>
              <w:gridCol w:w="1589"/>
            </w:tblGrid>
            <w:tr w:rsidR="00CC435C" w:rsidRPr="0061372C" w:rsidTr="00F11146">
              <w:trPr>
                <w:tblCellSpacing w:w="0" w:type="dxa"/>
              </w:trPr>
              <w:tc>
                <w:tcPr>
                  <w:tcW w:w="0" w:type="auto"/>
                  <w:vAlign w:val="center"/>
                  <w:hideMark/>
                </w:tcPr>
                <w:p w:rsidR="00CC435C" w:rsidRPr="0061372C" w:rsidRDefault="00CC435C" w:rsidP="00B70051">
                  <w:pPr>
                    <w:pStyle w:val="western"/>
                    <w:spacing w:before="0" w:beforeAutospacing="0" w:after="0" w:afterAutospacing="0"/>
                    <w:contextualSpacing/>
                    <w:jc w:val="center"/>
                    <w:rPr>
                      <w:lang w:val="uk-UA"/>
                    </w:rPr>
                  </w:pPr>
                  <w:r w:rsidRPr="0061372C">
                    <w:rPr>
                      <w:lang w:val="uk-UA"/>
                    </w:rPr>
                    <w:t>Ключові індикатори</w:t>
                  </w:r>
                </w:p>
              </w:tc>
              <w:tc>
                <w:tcPr>
                  <w:tcW w:w="0" w:type="auto"/>
                  <w:vAlign w:val="center"/>
                  <w:hideMark/>
                </w:tcPr>
                <w:p w:rsidR="00CC435C" w:rsidRPr="0061372C" w:rsidRDefault="00CC435C" w:rsidP="00B70051">
                  <w:pPr>
                    <w:pStyle w:val="western"/>
                    <w:spacing w:before="0" w:beforeAutospacing="0" w:after="0" w:afterAutospacing="0"/>
                    <w:contextualSpacing/>
                    <w:jc w:val="center"/>
                    <w:rPr>
                      <w:lang w:val="uk-UA"/>
                    </w:rPr>
                  </w:pPr>
                  <w:r w:rsidRPr="0061372C">
                    <w:rPr>
                      <w:lang w:val="uk-UA"/>
                    </w:rPr>
                    <w:t xml:space="preserve">2017 </w:t>
                  </w:r>
                </w:p>
              </w:tc>
              <w:tc>
                <w:tcPr>
                  <w:tcW w:w="0" w:type="auto"/>
                  <w:vAlign w:val="center"/>
                  <w:hideMark/>
                </w:tcPr>
                <w:p w:rsidR="00CC435C" w:rsidRPr="0061372C" w:rsidRDefault="00CC435C" w:rsidP="00B70051">
                  <w:pPr>
                    <w:pStyle w:val="western"/>
                    <w:spacing w:before="0" w:beforeAutospacing="0" w:after="0" w:afterAutospacing="0"/>
                    <w:contextualSpacing/>
                    <w:jc w:val="center"/>
                    <w:rPr>
                      <w:lang w:val="uk-UA"/>
                    </w:rPr>
                  </w:pPr>
                  <w:r w:rsidRPr="0061372C">
                    <w:rPr>
                      <w:lang w:val="uk-UA"/>
                    </w:rPr>
                    <w:t xml:space="preserve">2018 </w:t>
                  </w:r>
                </w:p>
              </w:tc>
              <w:tc>
                <w:tcPr>
                  <w:tcW w:w="0" w:type="auto"/>
                  <w:vAlign w:val="center"/>
                  <w:hideMark/>
                </w:tcPr>
                <w:p w:rsidR="00CC435C" w:rsidRPr="0061372C" w:rsidRDefault="00CC435C" w:rsidP="00B70051">
                  <w:pPr>
                    <w:pStyle w:val="western"/>
                    <w:spacing w:before="0" w:beforeAutospacing="0" w:after="0" w:afterAutospacing="0"/>
                    <w:contextualSpacing/>
                    <w:jc w:val="center"/>
                    <w:rPr>
                      <w:lang w:val="uk-UA"/>
                    </w:rPr>
                  </w:pPr>
                  <w:r w:rsidRPr="0061372C">
                    <w:rPr>
                      <w:lang w:val="uk-UA"/>
                    </w:rPr>
                    <w:t xml:space="preserve">2019 </w:t>
                  </w:r>
                </w:p>
              </w:tc>
              <w:tc>
                <w:tcPr>
                  <w:tcW w:w="0" w:type="auto"/>
                  <w:vAlign w:val="center"/>
                  <w:hideMark/>
                </w:tcPr>
                <w:p w:rsidR="005171C0" w:rsidRPr="0061372C" w:rsidRDefault="00CC435C" w:rsidP="00B70051">
                  <w:pPr>
                    <w:pStyle w:val="western"/>
                    <w:spacing w:before="0" w:beforeAutospacing="0" w:after="0" w:afterAutospacing="0"/>
                    <w:contextualSpacing/>
                    <w:jc w:val="center"/>
                    <w:rPr>
                      <w:lang w:val="uk-UA"/>
                    </w:rPr>
                  </w:pPr>
                  <w:r w:rsidRPr="0061372C">
                    <w:rPr>
                      <w:lang w:val="uk-UA"/>
                    </w:rPr>
                    <w:t xml:space="preserve">2020 </w:t>
                  </w:r>
                </w:p>
                <w:p w:rsidR="00CC435C" w:rsidRPr="0061372C" w:rsidRDefault="00CC435C" w:rsidP="00B70051">
                  <w:pPr>
                    <w:pStyle w:val="western"/>
                    <w:spacing w:before="0" w:beforeAutospacing="0" w:after="0" w:afterAutospacing="0"/>
                    <w:contextualSpacing/>
                    <w:jc w:val="center"/>
                    <w:rPr>
                      <w:lang w:val="uk-UA"/>
                    </w:rPr>
                  </w:pPr>
                  <w:r w:rsidRPr="0061372C">
                    <w:rPr>
                      <w:lang w:val="uk-UA"/>
                    </w:rPr>
                    <w:t>прогноз</w:t>
                  </w:r>
                </w:p>
              </w:tc>
            </w:tr>
            <w:tr w:rsidR="00CC435C" w:rsidRPr="0061372C" w:rsidTr="00B70051">
              <w:trPr>
                <w:tblCellSpacing w:w="0" w:type="dxa"/>
              </w:trPr>
              <w:tc>
                <w:tcPr>
                  <w:tcW w:w="0" w:type="auto"/>
                  <w:gridSpan w:val="5"/>
                  <w:vAlign w:val="center"/>
                  <w:hideMark/>
                </w:tcPr>
                <w:p w:rsidR="00CC435C" w:rsidRPr="0061372C" w:rsidRDefault="00CC435C" w:rsidP="00B70051">
                  <w:pPr>
                    <w:pStyle w:val="western"/>
                    <w:spacing w:before="0" w:beforeAutospacing="0" w:after="0" w:afterAutospacing="0"/>
                    <w:contextualSpacing/>
                    <w:jc w:val="center"/>
                    <w:rPr>
                      <w:lang w:val="uk-UA"/>
                    </w:rPr>
                  </w:pPr>
                  <w:r w:rsidRPr="0061372C">
                    <w:rPr>
                      <w:lang w:val="uk-UA"/>
                    </w:rPr>
                    <w:t>Департамент соціальної політики Черкаської міської ради</w:t>
                  </w:r>
                </w:p>
              </w:tc>
            </w:tr>
            <w:tr w:rsidR="00F11146" w:rsidRPr="0061372C" w:rsidTr="00687197">
              <w:trPr>
                <w:trHeight w:val="1612"/>
                <w:tblCellSpacing w:w="0" w:type="dxa"/>
              </w:trPr>
              <w:tc>
                <w:tcPr>
                  <w:tcW w:w="3756" w:type="dxa"/>
                  <w:vAlign w:val="center"/>
                  <w:hideMark/>
                </w:tcPr>
                <w:p w:rsidR="00CC435C" w:rsidRPr="0061372C" w:rsidRDefault="00CC435C" w:rsidP="00B70051">
                  <w:pPr>
                    <w:pStyle w:val="western"/>
                    <w:spacing w:before="0" w:beforeAutospacing="0" w:after="0" w:afterAutospacing="0"/>
                    <w:contextualSpacing/>
                    <w:rPr>
                      <w:lang w:val="uk-UA"/>
                    </w:rPr>
                  </w:pPr>
                  <w:r w:rsidRPr="0061372C">
                    <w:rPr>
                      <w:lang w:val="uk-UA"/>
                    </w:rPr>
                    <w:t>Кількість рішень суду щодо безспірного списання коштів міського бюджету, боржниками по яких є виконавчі органи міської ради, бюджетні установи, заклади, організації та одержувачі бюджетних коштів, що взяті до виконання (од.)</w:t>
                  </w:r>
                </w:p>
              </w:tc>
              <w:tc>
                <w:tcPr>
                  <w:tcW w:w="1795" w:type="dxa"/>
                  <w:vAlign w:val="center"/>
                  <w:hideMark/>
                </w:tcPr>
                <w:p w:rsidR="00CC435C" w:rsidRPr="0061372C" w:rsidRDefault="00CC435C" w:rsidP="00B70051">
                  <w:pPr>
                    <w:pStyle w:val="western"/>
                    <w:spacing w:before="0" w:beforeAutospacing="0" w:after="0" w:afterAutospacing="0"/>
                    <w:contextualSpacing/>
                    <w:jc w:val="center"/>
                    <w:rPr>
                      <w:lang w:val="uk-UA"/>
                    </w:rPr>
                  </w:pPr>
                  <w:r w:rsidRPr="0061372C">
                    <w:rPr>
                      <w:lang w:val="uk-UA"/>
                    </w:rPr>
                    <w:t>1</w:t>
                  </w:r>
                </w:p>
              </w:tc>
              <w:tc>
                <w:tcPr>
                  <w:tcW w:w="0" w:type="auto"/>
                  <w:vAlign w:val="center"/>
                  <w:hideMark/>
                </w:tcPr>
                <w:p w:rsidR="00CC435C" w:rsidRPr="0061372C" w:rsidRDefault="00CC435C" w:rsidP="00B70051">
                  <w:pPr>
                    <w:pStyle w:val="western"/>
                    <w:spacing w:before="0" w:beforeAutospacing="0" w:after="0" w:afterAutospacing="0"/>
                    <w:contextualSpacing/>
                    <w:jc w:val="center"/>
                    <w:rPr>
                      <w:lang w:val="uk-UA"/>
                    </w:rPr>
                  </w:pPr>
                  <w:r w:rsidRPr="0061372C">
                    <w:rPr>
                      <w:lang w:val="uk-UA"/>
                    </w:rPr>
                    <w:t>1</w:t>
                  </w:r>
                </w:p>
              </w:tc>
              <w:tc>
                <w:tcPr>
                  <w:tcW w:w="0" w:type="auto"/>
                  <w:vAlign w:val="center"/>
                  <w:hideMark/>
                </w:tcPr>
                <w:p w:rsidR="00CC435C" w:rsidRPr="0061372C" w:rsidRDefault="00CC435C" w:rsidP="00B70051">
                  <w:pPr>
                    <w:pStyle w:val="western"/>
                    <w:spacing w:before="0" w:beforeAutospacing="0" w:after="0" w:afterAutospacing="0"/>
                    <w:contextualSpacing/>
                    <w:jc w:val="center"/>
                    <w:rPr>
                      <w:lang w:val="uk-UA"/>
                    </w:rPr>
                  </w:pPr>
                  <w:r w:rsidRPr="0061372C">
                    <w:rPr>
                      <w:lang w:val="uk-UA"/>
                    </w:rPr>
                    <w:t>2</w:t>
                  </w:r>
                </w:p>
              </w:tc>
              <w:tc>
                <w:tcPr>
                  <w:tcW w:w="0" w:type="auto"/>
                  <w:vAlign w:val="center"/>
                  <w:hideMark/>
                </w:tcPr>
                <w:p w:rsidR="00CC435C" w:rsidRPr="0061372C" w:rsidRDefault="00CC435C" w:rsidP="00B70051">
                  <w:pPr>
                    <w:pStyle w:val="western"/>
                    <w:spacing w:before="0" w:beforeAutospacing="0" w:after="0" w:afterAutospacing="0"/>
                    <w:contextualSpacing/>
                    <w:jc w:val="center"/>
                    <w:rPr>
                      <w:lang w:val="uk-UA"/>
                    </w:rPr>
                  </w:pPr>
                  <w:r w:rsidRPr="0061372C">
                    <w:rPr>
                      <w:lang w:val="uk-UA"/>
                    </w:rPr>
                    <w:t>в міру надходження рішень суду</w:t>
                  </w:r>
                </w:p>
              </w:tc>
            </w:tr>
            <w:tr w:rsidR="00F11146" w:rsidRPr="0061372C" w:rsidTr="00687197">
              <w:trPr>
                <w:trHeight w:val="736"/>
                <w:tblCellSpacing w:w="0" w:type="dxa"/>
              </w:trPr>
              <w:tc>
                <w:tcPr>
                  <w:tcW w:w="3756" w:type="dxa"/>
                  <w:vAlign w:val="center"/>
                  <w:hideMark/>
                </w:tcPr>
                <w:p w:rsidR="00CC435C" w:rsidRPr="0061372C" w:rsidRDefault="00CC435C" w:rsidP="00B70051">
                  <w:pPr>
                    <w:pStyle w:val="western"/>
                    <w:spacing w:before="0" w:beforeAutospacing="0" w:after="0" w:afterAutospacing="0"/>
                    <w:contextualSpacing/>
                    <w:rPr>
                      <w:lang w:val="uk-UA"/>
                    </w:rPr>
                  </w:pPr>
                  <w:r w:rsidRPr="0061372C">
                    <w:rPr>
                      <w:lang w:val="uk-UA"/>
                    </w:rPr>
                    <w:t>Сума заборгованості, що підлягає безспірному списанню відповідно до рішень суду (грн.)</w:t>
                  </w:r>
                </w:p>
                <w:p w:rsidR="00CC435C" w:rsidRPr="0061372C" w:rsidRDefault="00CC435C" w:rsidP="00B70051">
                  <w:pPr>
                    <w:pStyle w:val="western"/>
                    <w:spacing w:before="0" w:beforeAutospacing="0" w:after="0" w:afterAutospacing="0"/>
                    <w:contextualSpacing/>
                    <w:rPr>
                      <w:lang w:val="uk-UA"/>
                    </w:rPr>
                  </w:pPr>
                </w:p>
              </w:tc>
              <w:tc>
                <w:tcPr>
                  <w:tcW w:w="1795" w:type="dxa"/>
                  <w:vAlign w:val="center"/>
                  <w:hideMark/>
                </w:tcPr>
                <w:p w:rsidR="00CC435C" w:rsidRPr="0061372C" w:rsidRDefault="00CC435C" w:rsidP="00B70051">
                  <w:pPr>
                    <w:pStyle w:val="western"/>
                    <w:spacing w:before="0" w:beforeAutospacing="0" w:after="0" w:afterAutospacing="0"/>
                    <w:contextualSpacing/>
                    <w:jc w:val="center"/>
                    <w:rPr>
                      <w:lang w:val="uk-UA"/>
                    </w:rPr>
                  </w:pPr>
                  <w:r w:rsidRPr="0061372C">
                    <w:rPr>
                      <w:lang w:val="uk-UA"/>
                    </w:rPr>
                    <w:t>912 536,18</w:t>
                  </w:r>
                </w:p>
              </w:tc>
              <w:tc>
                <w:tcPr>
                  <w:tcW w:w="0" w:type="auto"/>
                  <w:vAlign w:val="center"/>
                  <w:hideMark/>
                </w:tcPr>
                <w:p w:rsidR="00CC435C" w:rsidRPr="0061372C" w:rsidRDefault="00CC435C" w:rsidP="00B70051">
                  <w:pPr>
                    <w:pStyle w:val="western"/>
                    <w:spacing w:before="0" w:beforeAutospacing="0" w:after="0" w:afterAutospacing="0"/>
                    <w:contextualSpacing/>
                    <w:jc w:val="center"/>
                    <w:rPr>
                      <w:lang w:val="uk-UA"/>
                    </w:rPr>
                  </w:pPr>
                  <w:r w:rsidRPr="0061372C">
                    <w:rPr>
                      <w:lang w:val="uk-UA"/>
                    </w:rPr>
                    <w:t>1 668 182,94</w:t>
                  </w:r>
                </w:p>
              </w:tc>
              <w:tc>
                <w:tcPr>
                  <w:tcW w:w="0" w:type="auto"/>
                  <w:vAlign w:val="center"/>
                  <w:hideMark/>
                </w:tcPr>
                <w:p w:rsidR="00CC435C" w:rsidRPr="0061372C" w:rsidRDefault="00CC435C" w:rsidP="00537A97">
                  <w:pPr>
                    <w:pStyle w:val="western"/>
                    <w:spacing w:before="0" w:beforeAutospacing="0" w:after="0" w:afterAutospacing="0"/>
                    <w:contextualSpacing/>
                    <w:jc w:val="center"/>
                    <w:rPr>
                      <w:lang w:val="uk-UA"/>
                    </w:rPr>
                  </w:pPr>
                  <w:r w:rsidRPr="0061372C">
                    <w:rPr>
                      <w:lang w:val="uk-UA"/>
                    </w:rPr>
                    <w:t>3</w:t>
                  </w:r>
                  <w:r w:rsidR="005171C0" w:rsidRPr="0061372C">
                    <w:rPr>
                      <w:lang w:val="uk-UA"/>
                    </w:rPr>
                    <w:t> </w:t>
                  </w:r>
                  <w:r w:rsidRPr="0061372C">
                    <w:rPr>
                      <w:lang w:val="uk-UA"/>
                    </w:rPr>
                    <w:t>087150,15</w:t>
                  </w:r>
                </w:p>
              </w:tc>
              <w:tc>
                <w:tcPr>
                  <w:tcW w:w="0" w:type="auto"/>
                  <w:vAlign w:val="center"/>
                  <w:hideMark/>
                </w:tcPr>
                <w:p w:rsidR="00CC435C" w:rsidRPr="0061372C" w:rsidRDefault="00CC435C" w:rsidP="00B70051">
                  <w:pPr>
                    <w:pStyle w:val="western"/>
                    <w:spacing w:before="0" w:beforeAutospacing="0" w:after="0" w:afterAutospacing="0"/>
                    <w:contextualSpacing/>
                    <w:jc w:val="center"/>
                    <w:rPr>
                      <w:lang w:val="uk-UA"/>
                    </w:rPr>
                  </w:pPr>
                  <w:r w:rsidRPr="0061372C">
                    <w:rPr>
                      <w:lang w:val="uk-UA"/>
                    </w:rPr>
                    <w:t>в міру надходження рішень суду</w:t>
                  </w:r>
                </w:p>
              </w:tc>
            </w:tr>
            <w:tr w:rsidR="00F11146" w:rsidRPr="0061372C" w:rsidTr="00687197">
              <w:trPr>
                <w:trHeight w:val="2436"/>
                <w:tblCellSpacing w:w="0" w:type="dxa"/>
              </w:trPr>
              <w:tc>
                <w:tcPr>
                  <w:tcW w:w="3756" w:type="dxa"/>
                  <w:vAlign w:val="center"/>
                  <w:hideMark/>
                </w:tcPr>
                <w:p w:rsidR="00CC435C" w:rsidRPr="0061372C" w:rsidRDefault="00CC435C" w:rsidP="00B70051">
                  <w:pPr>
                    <w:pStyle w:val="western"/>
                    <w:spacing w:before="0" w:beforeAutospacing="0" w:after="0" w:afterAutospacing="0"/>
                    <w:contextualSpacing/>
                    <w:rPr>
                      <w:lang w:val="uk-UA"/>
                    </w:rPr>
                  </w:pPr>
                  <w:r w:rsidRPr="0061372C">
                    <w:rPr>
                      <w:lang w:val="uk-UA"/>
                    </w:rPr>
                    <w:lastRenderedPageBreak/>
                    <w:t>Сума судових витрат (судовий збір, витрати пов’язані з розглядом справи), виконавчого збору, штрафів та додаткових витрат, які виникли внаслідок несвоєчасного виконання чи невиконання рішення суду, та підлягають відшкодуванню, також і витрат, що підлягають безспірному списанню (грн.)</w:t>
                  </w:r>
                </w:p>
              </w:tc>
              <w:tc>
                <w:tcPr>
                  <w:tcW w:w="1795" w:type="dxa"/>
                  <w:vAlign w:val="center"/>
                  <w:hideMark/>
                </w:tcPr>
                <w:p w:rsidR="00CC435C" w:rsidRPr="0061372C" w:rsidRDefault="00CC435C" w:rsidP="00B70051">
                  <w:pPr>
                    <w:pStyle w:val="western"/>
                    <w:spacing w:before="0" w:beforeAutospacing="0" w:after="0" w:afterAutospacing="0"/>
                    <w:contextualSpacing/>
                    <w:jc w:val="center"/>
                    <w:rPr>
                      <w:lang w:val="uk-UA"/>
                    </w:rPr>
                  </w:pPr>
                  <w:r w:rsidRPr="0061372C">
                    <w:rPr>
                      <w:lang w:val="uk-UA"/>
                    </w:rPr>
                    <w:t>13 688,04</w:t>
                  </w:r>
                </w:p>
              </w:tc>
              <w:tc>
                <w:tcPr>
                  <w:tcW w:w="0" w:type="auto"/>
                  <w:vAlign w:val="center"/>
                  <w:hideMark/>
                </w:tcPr>
                <w:p w:rsidR="00CC435C" w:rsidRPr="0061372C" w:rsidRDefault="00CC435C" w:rsidP="00B70051">
                  <w:pPr>
                    <w:pStyle w:val="western"/>
                    <w:spacing w:before="0" w:beforeAutospacing="0" w:after="0" w:afterAutospacing="0"/>
                    <w:contextualSpacing/>
                    <w:jc w:val="center"/>
                    <w:rPr>
                      <w:lang w:val="uk-UA"/>
                    </w:rPr>
                  </w:pPr>
                  <w:r w:rsidRPr="0061372C">
                    <w:rPr>
                      <w:lang w:val="uk-UA"/>
                    </w:rPr>
                    <w:t>25 022,74</w:t>
                  </w:r>
                </w:p>
              </w:tc>
              <w:tc>
                <w:tcPr>
                  <w:tcW w:w="0" w:type="auto"/>
                  <w:vAlign w:val="center"/>
                  <w:hideMark/>
                </w:tcPr>
                <w:p w:rsidR="00CC435C" w:rsidRPr="0061372C" w:rsidRDefault="00CC435C" w:rsidP="00B70051">
                  <w:pPr>
                    <w:pStyle w:val="western"/>
                    <w:spacing w:before="0" w:beforeAutospacing="0" w:after="0" w:afterAutospacing="0"/>
                    <w:contextualSpacing/>
                    <w:jc w:val="center"/>
                    <w:rPr>
                      <w:lang w:val="uk-UA"/>
                    </w:rPr>
                  </w:pPr>
                  <w:r w:rsidRPr="0061372C">
                    <w:rPr>
                      <w:lang w:val="uk-UA"/>
                    </w:rPr>
                    <w:t>46 306,35</w:t>
                  </w:r>
                </w:p>
              </w:tc>
              <w:tc>
                <w:tcPr>
                  <w:tcW w:w="0" w:type="auto"/>
                  <w:vAlign w:val="center"/>
                  <w:hideMark/>
                </w:tcPr>
                <w:p w:rsidR="00CC435C" w:rsidRPr="0061372C" w:rsidRDefault="00CC435C" w:rsidP="00B70051">
                  <w:pPr>
                    <w:pStyle w:val="western"/>
                    <w:spacing w:before="0" w:beforeAutospacing="0" w:after="0" w:afterAutospacing="0"/>
                    <w:contextualSpacing/>
                    <w:jc w:val="center"/>
                    <w:rPr>
                      <w:lang w:val="uk-UA"/>
                    </w:rPr>
                  </w:pPr>
                  <w:r w:rsidRPr="0061372C">
                    <w:rPr>
                      <w:lang w:val="uk-UA"/>
                    </w:rPr>
                    <w:t>в міру надходження рішень суду</w:t>
                  </w:r>
                </w:p>
              </w:tc>
            </w:tr>
            <w:tr w:rsidR="00CC435C" w:rsidRPr="0061372C" w:rsidTr="00B70051">
              <w:trPr>
                <w:tblCellSpacing w:w="0" w:type="dxa"/>
              </w:trPr>
              <w:tc>
                <w:tcPr>
                  <w:tcW w:w="0" w:type="auto"/>
                  <w:gridSpan w:val="5"/>
                  <w:vAlign w:val="center"/>
                  <w:hideMark/>
                </w:tcPr>
                <w:p w:rsidR="00CC435C" w:rsidRPr="0061372C" w:rsidRDefault="00CC435C" w:rsidP="00B70051">
                  <w:pPr>
                    <w:pStyle w:val="western"/>
                    <w:spacing w:before="0" w:beforeAutospacing="0" w:after="0" w:afterAutospacing="0"/>
                    <w:contextualSpacing/>
                    <w:jc w:val="center"/>
                    <w:rPr>
                      <w:lang w:val="uk-UA"/>
                    </w:rPr>
                  </w:pPr>
                  <w:r w:rsidRPr="0061372C">
                    <w:rPr>
                      <w:lang w:val="uk-UA"/>
                    </w:rPr>
                    <w:t>Департамент охорони здоров’я та медичних послуг Черкаської міської ради</w:t>
                  </w:r>
                </w:p>
              </w:tc>
            </w:tr>
            <w:tr w:rsidR="00CC435C" w:rsidRPr="0061372C" w:rsidTr="00F11146">
              <w:trPr>
                <w:tblCellSpacing w:w="0" w:type="dxa"/>
              </w:trPr>
              <w:tc>
                <w:tcPr>
                  <w:tcW w:w="0" w:type="auto"/>
                  <w:vAlign w:val="center"/>
                  <w:hideMark/>
                </w:tcPr>
                <w:p w:rsidR="00CC435C" w:rsidRPr="0061372C" w:rsidRDefault="00CC435C" w:rsidP="00B70051">
                  <w:pPr>
                    <w:pStyle w:val="western"/>
                    <w:spacing w:before="0" w:beforeAutospacing="0" w:after="0" w:afterAutospacing="0"/>
                    <w:contextualSpacing/>
                    <w:rPr>
                      <w:lang w:val="uk-UA"/>
                    </w:rPr>
                  </w:pPr>
                  <w:r w:rsidRPr="0061372C">
                    <w:rPr>
                      <w:lang w:val="uk-UA"/>
                    </w:rPr>
                    <w:t>Кількість рішень суду щодо безспірного списання коштів міського бюджету, боржниками по яких є виконавчі органи міської ради, бюджетні установи, заклади, організації та одержувачі бюджетних коштів, що взяті до виконання (од.)</w:t>
                  </w:r>
                </w:p>
              </w:tc>
              <w:tc>
                <w:tcPr>
                  <w:tcW w:w="0" w:type="auto"/>
                  <w:vAlign w:val="center"/>
                  <w:hideMark/>
                </w:tcPr>
                <w:p w:rsidR="00CC435C" w:rsidRPr="0061372C" w:rsidRDefault="00CC435C" w:rsidP="00B70051">
                  <w:pPr>
                    <w:pStyle w:val="western"/>
                    <w:spacing w:before="0" w:beforeAutospacing="0" w:after="0" w:afterAutospacing="0"/>
                    <w:contextualSpacing/>
                    <w:jc w:val="center"/>
                    <w:rPr>
                      <w:lang w:val="uk-UA"/>
                    </w:rPr>
                  </w:pPr>
                </w:p>
              </w:tc>
              <w:tc>
                <w:tcPr>
                  <w:tcW w:w="0" w:type="auto"/>
                  <w:vAlign w:val="center"/>
                  <w:hideMark/>
                </w:tcPr>
                <w:p w:rsidR="00CC435C" w:rsidRPr="0061372C" w:rsidRDefault="00CC435C" w:rsidP="00B70051">
                  <w:pPr>
                    <w:pStyle w:val="western"/>
                    <w:spacing w:before="0" w:beforeAutospacing="0" w:after="0" w:afterAutospacing="0"/>
                    <w:contextualSpacing/>
                    <w:jc w:val="center"/>
                    <w:rPr>
                      <w:lang w:val="uk-UA"/>
                    </w:rPr>
                  </w:pPr>
                  <w:r w:rsidRPr="0061372C">
                    <w:rPr>
                      <w:lang w:val="uk-UA"/>
                    </w:rPr>
                    <w:t>1</w:t>
                  </w:r>
                </w:p>
              </w:tc>
              <w:tc>
                <w:tcPr>
                  <w:tcW w:w="0" w:type="auto"/>
                  <w:vAlign w:val="center"/>
                  <w:hideMark/>
                </w:tcPr>
                <w:p w:rsidR="00CC435C" w:rsidRPr="0061372C" w:rsidRDefault="00CC435C" w:rsidP="00B70051">
                  <w:pPr>
                    <w:pStyle w:val="western"/>
                    <w:spacing w:before="0" w:beforeAutospacing="0" w:after="0" w:afterAutospacing="0"/>
                    <w:contextualSpacing/>
                    <w:jc w:val="center"/>
                    <w:rPr>
                      <w:lang w:val="uk-UA"/>
                    </w:rPr>
                  </w:pPr>
                </w:p>
              </w:tc>
              <w:tc>
                <w:tcPr>
                  <w:tcW w:w="0" w:type="auto"/>
                  <w:vAlign w:val="center"/>
                  <w:hideMark/>
                </w:tcPr>
                <w:p w:rsidR="00CC435C" w:rsidRPr="0061372C" w:rsidRDefault="000C3D58" w:rsidP="00B70051">
                  <w:pPr>
                    <w:pStyle w:val="western"/>
                    <w:spacing w:before="0" w:beforeAutospacing="0" w:after="0" w:afterAutospacing="0"/>
                    <w:contextualSpacing/>
                    <w:jc w:val="center"/>
                    <w:rPr>
                      <w:lang w:val="uk-UA"/>
                    </w:rPr>
                  </w:pPr>
                  <w:r w:rsidRPr="0061372C">
                    <w:rPr>
                      <w:lang w:val="uk-UA"/>
                    </w:rPr>
                    <w:t>6</w:t>
                  </w:r>
                </w:p>
              </w:tc>
            </w:tr>
            <w:tr w:rsidR="00CC435C" w:rsidRPr="0061372C" w:rsidTr="00F927C6">
              <w:trPr>
                <w:trHeight w:val="725"/>
                <w:tblCellSpacing w:w="0" w:type="dxa"/>
              </w:trPr>
              <w:tc>
                <w:tcPr>
                  <w:tcW w:w="0" w:type="auto"/>
                  <w:vAlign w:val="center"/>
                  <w:hideMark/>
                </w:tcPr>
                <w:p w:rsidR="00CC435C" w:rsidRPr="0061372C" w:rsidRDefault="00CC435C" w:rsidP="00B70051">
                  <w:pPr>
                    <w:pStyle w:val="western"/>
                    <w:spacing w:before="0" w:beforeAutospacing="0" w:after="0" w:afterAutospacing="0"/>
                    <w:contextualSpacing/>
                    <w:rPr>
                      <w:lang w:val="uk-UA"/>
                    </w:rPr>
                  </w:pPr>
                  <w:r w:rsidRPr="0061372C">
                    <w:rPr>
                      <w:lang w:val="uk-UA"/>
                    </w:rPr>
                    <w:t>Сума заборгованості, що підлягає безспірному списанню відповідно до рішень суду (грн.)</w:t>
                  </w:r>
                </w:p>
              </w:tc>
              <w:tc>
                <w:tcPr>
                  <w:tcW w:w="0" w:type="auto"/>
                  <w:vAlign w:val="center"/>
                  <w:hideMark/>
                </w:tcPr>
                <w:p w:rsidR="00CC435C" w:rsidRPr="0061372C" w:rsidRDefault="00CC435C" w:rsidP="00B70051">
                  <w:pPr>
                    <w:pStyle w:val="western"/>
                    <w:spacing w:before="0" w:beforeAutospacing="0" w:after="0" w:afterAutospacing="0"/>
                    <w:contextualSpacing/>
                    <w:jc w:val="center"/>
                    <w:rPr>
                      <w:lang w:val="uk-UA"/>
                    </w:rPr>
                  </w:pPr>
                </w:p>
              </w:tc>
              <w:tc>
                <w:tcPr>
                  <w:tcW w:w="0" w:type="auto"/>
                  <w:vAlign w:val="center"/>
                  <w:hideMark/>
                </w:tcPr>
                <w:p w:rsidR="00CC435C" w:rsidRPr="0061372C" w:rsidRDefault="00CC435C" w:rsidP="00B70051">
                  <w:pPr>
                    <w:pStyle w:val="western"/>
                    <w:spacing w:before="0" w:beforeAutospacing="0" w:after="0" w:afterAutospacing="0"/>
                    <w:contextualSpacing/>
                    <w:jc w:val="center"/>
                    <w:rPr>
                      <w:lang w:val="uk-UA"/>
                    </w:rPr>
                  </w:pPr>
                  <w:r w:rsidRPr="0061372C">
                    <w:rPr>
                      <w:lang w:val="uk-UA"/>
                    </w:rPr>
                    <w:t>3 890 487,78</w:t>
                  </w:r>
                </w:p>
              </w:tc>
              <w:tc>
                <w:tcPr>
                  <w:tcW w:w="0" w:type="auto"/>
                  <w:vAlign w:val="center"/>
                  <w:hideMark/>
                </w:tcPr>
                <w:p w:rsidR="00CC435C" w:rsidRPr="0061372C" w:rsidRDefault="00CC435C" w:rsidP="00B70051">
                  <w:pPr>
                    <w:pStyle w:val="western"/>
                    <w:spacing w:before="0" w:beforeAutospacing="0" w:after="0" w:afterAutospacing="0"/>
                    <w:contextualSpacing/>
                    <w:jc w:val="center"/>
                    <w:rPr>
                      <w:lang w:val="uk-UA"/>
                    </w:rPr>
                  </w:pPr>
                </w:p>
              </w:tc>
              <w:tc>
                <w:tcPr>
                  <w:tcW w:w="0" w:type="auto"/>
                  <w:vAlign w:val="center"/>
                  <w:hideMark/>
                </w:tcPr>
                <w:p w:rsidR="00CC435C" w:rsidRPr="0061372C" w:rsidRDefault="00B70051" w:rsidP="00B70051">
                  <w:pPr>
                    <w:pStyle w:val="western"/>
                    <w:spacing w:before="0" w:beforeAutospacing="0" w:after="0" w:afterAutospacing="0"/>
                    <w:contextualSpacing/>
                    <w:jc w:val="center"/>
                    <w:rPr>
                      <w:lang w:val="uk-UA"/>
                    </w:rPr>
                  </w:pPr>
                  <w:r w:rsidRPr="0061372C">
                    <w:t>8 533 465,56</w:t>
                  </w:r>
                </w:p>
              </w:tc>
            </w:tr>
            <w:tr w:rsidR="00CC435C" w:rsidRPr="0061372C" w:rsidTr="00F11146">
              <w:trPr>
                <w:tblCellSpacing w:w="0" w:type="dxa"/>
              </w:trPr>
              <w:tc>
                <w:tcPr>
                  <w:tcW w:w="0" w:type="auto"/>
                  <w:vAlign w:val="center"/>
                  <w:hideMark/>
                </w:tcPr>
                <w:p w:rsidR="00CC435C" w:rsidRPr="0061372C" w:rsidRDefault="00CC435C" w:rsidP="00B70051">
                  <w:pPr>
                    <w:pStyle w:val="western"/>
                    <w:spacing w:before="0" w:beforeAutospacing="0" w:after="0" w:afterAutospacing="0"/>
                    <w:contextualSpacing/>
                    <w:rPr>
                      <w:lang w:val="uk-UA"/>
                    </w:rPr>
                  </w:pPr>
                  <w:r w:rsidRPr="0061372C">
                    <w:rPr>
                      <w:lang w:val="uk-UA"/>
                    </w:rPr>
                    <w:t>Сума судових витрат (судовий збір, витрати пов’язані з розглядом справи), виконавчого збору, штрафів та додаткових витрат, які виникли внаслідок несвоєчасного виконання чи невиконання рішення суду, та підлягають відшкодуванню, також і витрат, що підлягають безспірному списанню (грн.)</w:t>
                  </w:r>
                </w:p>
              </w:tc>
              <w:tc>
                <w:tcPr>
                  <w:tcW w:w="0" w:type="auto"/>
                  <w:vAlign w:val="center"/>
                  <w:hideMark/>
                </w:tcPr>
                <w:p w:rsidR="00CC435C" w:rsidRPr="0061372C" w:rsidRDefault="00CC435C" w:rsidP="00B70051">
                  <w:pPr>
                    <w:pStyle w:val="western"/>
                    <w:spacing w:before="0" w:beforeAutospacing="0" w:after="0" w:afterAutospacing="0"/>
                    <w:contextualSpacing/>
                    <w:jc w:val="center"/>
                    <w:rPr>
                      <w:lang w:val="uk-UA"/>
                    </w:rPr>
                  </w:pPr>
                </w:p>
              </w:tc>
              <w:tc>
                <w:tcPr>
                  <w:tcW w:w="0" w:type="auto"/>
                  <w:vAlign w:val="center"/>
                  <w:hideMark/>
                </w:tcPr>
                <w:p w:rsidR="00CC435C" w:rsidRPr="0061372C" w:rsidRDefault="00CC435C" w:rsidP="00B70051">
                  <w:pPr>
                    <w:pStyle w:val="western"/>
                    <w:spacing w:before="0" w:beforeAutospacing="0" w:after="0" w:afterAutospacing="0"/>
                    <w:contextualSpacing/>
                    <w:jc w:val="center"/>
                    <w:rPr>
                      <w:lang w:val="uk-UA"/>
                    </w:rPr>
                  </w:pPr>
                  <w:r w:rsidRPr="0061372C">
                    <w:rPr>
                      <w:lang w:val="uk-UA"/>
                    </w:rPr>
                    <w:t>58 357,32</w:t>
                  </w:r>
                </w:p>
              </w:tc>
              <w:tc>
                <w:tcPr>
                  <w:tcW w:w="0" w:type="auto"/>
                  <w:vAlign w:val="center"/>
                  <w:hideMark/>
                </w:tcPr>
                <w:p w:rsidR="00CC435C" w:rsidRPr="0061372C" w:rsidRDefault="00CC435C" w:rsidP="00B70051">
                  <w:pPr>
                    <w:pStyle w:val="western"/>
                    <w:spacing w:before="0" w:beforeAutospacing="0" w:after="0" w:afterAutospacing="0"/>
                    <w:contextualSpacing/>
                    <w:jc w:val="center"/>
                    <w:rPr>
                      <w:lang w:val="uk-UA"/>
                    </w:rPr>
                  </w:pPr>
                </w:p>
              </w:tc>
              <w:tc>
                <w:tcPr>
                  <w:tcW w:w="0" w:type="auto"/>
                  <w:vAlign w:val="center"/>
                  <w:hideMark/>
                </w:tcPr>
                <w:p w:rsidR="00CC435C" w:rsidRPr="0061372C" w:rsidRDefault="000C3D58" w:rsidP="00B70051">
                  <w:pPr>
                    <w:pStyle w:val="western"/>
                    <w:spacing w:before="0" w:beforeAutospacing="0" w:after="0" w:afterAutospacing="0"/>
                    <w:contextualSpacing/>
                    <w:jc w:val="center"/>
                    <w:rPr>
                      <w:lang w:val="uk-UA"/>
                    </w:rPr>
                  </w:pPr>
                  <w:r w:rsidRPr="0061372C">
                    <w:rPr>
                      <w:lang w:val="uk-UA"/>
                    </w:rPr>
                    <w:t>417 692,69</w:t>
                  </w:r>
                </w:p>
              </w:tc>
            </w:tr>
            <w:tr w:rsidR="00CC435C" w:rsidRPr="0061372C" w:rsidTr="00B70051">
              <w:trPr>
                <w:tblCellSpacing w:w="0" w:type="dxa"/>
              </w:trPr>
              <w:tc>
                <w:tcPr>
                  <w:tcW w:w="0" w:type="auto"/>
                  <w:gridSpan w:val="5"/>
                  <w:vAlign w:val="center"/>
                  <w:hideMark/>
                </w:tcPr>
                <w:p w:rsidR="00CC435C" w:rsidRPr="0061372C" w:rsidRDefault="00CC435C" w:rsidP="00B70051">
                  <w:pPr>
                    <w:pStyle w:val="western"/>
                    <w:spacing w:before="0" w:beforeAutospacing="0" w:after="0" w:afterAutospacing="0"/>
                    <w:contextualSpacing/>
                    <w:jc w:val="center"/>
                    <w:rPr>
                      <w:lang w:val="uk-UA"/>
                    </w:rPr>
                  </w:pPr>
                  <w:r w:rsidRPr="0061372C">
                    <w:rPr>
                      <w:lang w:val="uk-UA"/>
                    </w:rPr>
                    <w:t>Департамент житлово-комунального комплексу Черкаської міської ради</w:t>
                  </w:r>
                </w:p>
              </w:tc>
            </w:tr>
            <w:tr w:rsidR="00CC435C" w:rsidRPr="0061372C" w:rsidTr="00F11146">
              <w:trPr>
                <w:tblCellSpacing w:w="0" w:type="dxa"/>
              </w:trPr>
              <w:tc>
                <w:tcPr>
                  <w:tcW w:w="0" w:type="auto"/>
                  <w:vAlign w:val="center"/>
                  <w:hideMark/>
                </w:tcPr>
                <w:p w:rsidR="00CC435C" w:rsidRPr="0061372C" w:rsidRDefault="00CC435C" w:rsidP="00B70051">
                  <w:pPr>
                    <w:pStyle w:val="western"/>
                    <w:spacing w:before="0" w:beforeAutospacing="0" w:after="0" w:afterAutospacing="0"/>
                    <w:contextualSpacing/>
                    <w:rPr>
                      <w:lang w:val="uk-UA"/>
                    </w:rPr>
                  </w:pPr>
                  <w:r w:rsidRPr="0061372C">
                    <w:rPr>
                      <w:lang w:val="uk-UA"/>
                    </w:rPr>
                    <w:t>Кількість рішень суду щодо безспірного списання коштів міського бюджету, боржниками по яких є виконавчі органи міської ради, бюджетні установи, заклади, організації та одержувачі бюджетних коштів, що взяті до виконання (од.)</w:t>
                  </w:r>
                </w:p>
              </w:tc>
              <w:tc>
                <w:tcPr>
                  <w:tcW w:w="0" w:type="auto"/>
                  <w:vAlign w:val="center"/>
                  <w:hideMark/>
                </w:tcPr>
                <w:p w:rsidR="00CC435C" w:rsidRPr="0061372C" w:rsidRDefault="00CC435C" w:rsidP="00B70051">
                  <w:pPr>
                    <w:pStyle w:val="western"/>
                    <w:spacing w:before="0" w:beforeAutospacing="0" w:after="0" w:afterAutospacing="0"/>
                    <w:contextualSpacing/>
                    <w:jc w:val="center"/>
                    <w:rPr>
                      <w:lang w:val="uk-UA"/>
                    </w:rPr>
                  </w:pPr>
                </w:p>
              </w:tc>
              <w:tc>
                <w:tcPr>
                  <w:tcW w:w="0" w:type="auto"/>
                  <w:vAlign w:val="center"/>
                  <w:hideMark/>
                </w:tcPr>
                <w:p w:rsidR="00CC435C" w:rsidRPr="0061372C" w:rsidRDefault="00CC435C" w:rsidP="00B70051">
                  <w:pPr>
                    <w:pStyle w:val="western"/>
                    <w:spacing w:before="0" w:beforeAutospacing="0" w:after="0" w:afterAutospacing="0"/>
                    <w:contextualSpacing/>
                    <w:jc w:val="center"/>
                    <w:rPr>
                      <w:lang w:val="uk-UA"/>
                    </w:rPr>
                  </w:pPr>
                </w:p>
              </w:tc>
              <w:tc>
                <w:tcPr>
                  <w:tcW w:w="0" w:type="auto"/>
                  <w:vAlign w:val="center"/>
                  <w:hideMark/>
                </w:tcPr>
                <w:p w:rsidR="00CC435C" w:rsidRPr="0061372C" w:rsidRDefault="00CC435C" w:rsidP="00B70051">
                  <w:pPr>
                    <w:pStyle w:val="western"/>
                    <w:spacing w:before="0" w:beforeAutospacing="0" w:after="0" w:afterAutospacing="0"/>
                    <w:contextualSpacing/>
                    <w:jc w:val="center"/>
                    <w:rPr>
                      <w:lang w:val="uk-UA"/>
                    </w:rPr>
                  </w:pPr>
                  <w:r w:rsidRPr="0061372C">
                    <w:rPr>
                      <w:lang w:val="uk-UA"/>
                    </w:rPr>
                    <w:t>1</w:t>
                  </w:r>
                </w:p>
              </w:tc>
              <w:tc>
                <w:tcPr>
                  <w:tcW w:w="0" w:type="auto"/>
                  <w:vAlign w:val="center"/>
                  <w:hideMark/>
                </w:tcPr>
                <w:p w:rsidR="00CC435C" w:rsidRPr="0061372C" w:rsidRDefault="00CC435C" w:rsidP="00B70051">
                  <w:pPr>
                    <w:pStyle w:val="western"/>
                    <w:spacing w:before="0" w:beforeAutospacing="0" w:after="0" w:afterAutospacing="0"/>
                    <w:contextualSpacing/>
                    <w:jc w:val="center"/>
                    <w:rPr>
                      <w:lang w:val="uk-UA"/>
                    </w:rPr>
                  </w:pPr>
                  <w:r w:rsidRPr="0061372C">
                    <w:rPr>
                      <w:lang w:val="uk-UA"/>
                    </w:rPr>
                    <w:t>в міру надходження рішень суду</w:t>
                  </w:r>
                </w:p>
              </w:tc>
            </w:tr>
            <w:tr w:rsidR="00CC435C" w:rsidRPr="0061372C" w:rsidTr="00F11146">
              <w:trPr>
                <w:tblCellSpacing w:w="0" w:type="dxa"/>
              </w:trPr>
              <w:tc>
                <w:tcPr>
                  <w:tcW w:w="0" w:type="auto"/>
                  <w:vAlign w:val="center"/>
                  <w:hideMark/>
                </w:tcPr>
                <w:p w:rsidR="00CC435C" w:rsidRPr="0061372C" w:rsidRDefault="00CC435C" w:rsidP="00B70051">
                  <w:pPr>
                    <w:pStyle w:val="western"/>
                    <w:spacing w:before="0" w:beforeAutospacing="0" w:after="0" w:afterAutospacing="0"/>
                    <w:contextualSpacing/>
                    <w:rPr>
                      <w:lang w:val="uk-UA"/>
                    </w:rPr>
                  </w:pPr>
                  <w:r w:rsidRPr="0061372C">
                    <w:rPr>
                      <w:lang w:val="uk-UA"/>
                    </w:rPr>
                    <w:t>Сума заборгованості, що підлягає безспірному списанню відповідно до рішень суду (грн.)</w:t>
                  </w:r>
                </w:p>
              </w:tc>
              <w:tc>
                <w:tcPr>
                  <w:tcW w:w="0" w:type="auto"/>
                  <w:vAlign w:val="center"/>
                  <w:hideMark/>
                </w:tcPr>
                <w:p w:rsidR="00CC435C" w:rsidRPr="0061372C" w:rsidRDefault="00CC435C" w:rsidP="00B70051">
                  <w:pPr>
                    <w:pStyle w:val="western"/>
                    <w:spacing w:before="0" w:beforeAutospacing="0" w:after="0" w:afterAutospacing="0"/>
                    <w:contextualSpacing/>
                    <w:jc w:val="center"/>
                    <w:rPr>
                      <w:lang w:val="uk-UA"/>
                    </w:rPr>
                  </w:pPr>
                </w:p>
              </w:tc>
              <w:tc>
                <w:tcPr>
                  <w:tcW w:w="0" w:type="auto"/>
                  <w:vAlign w:val="center"/>
                  <w:hideMark/>
                </w:tcPr>
                <w:p w:rsidR="00CC435C" w:rsidRPr="0061372C" w:rsidRDefault="00CC435C" w:rsidP="00B70051">
                  <w:pPr>
                    <w:pStyle w:val="western"/>
                    <w:spacing w:before="0" w:beforeAutospacing="0" w:after="0" w:afterAutospacing="0"/>
                    <w:contextualSpacing/>
                    <w:jc w:val="center"/>
                    <w:rPr>
                      <w:lang w:val="uk-UA"/>
                    </w:rPr>
                  </w:pPr>
                </w:p>
              </w:tc>
              <w:tc>
                <w:tcPr>
                  <w:tcW w:w="0" w:type="auto"/>
                  <w:vAlign w:val="center"/>
                  <w:hideMark/>
                </w:tcPr>
                <w:p w:rsidR="00CC435C" w:rsidRPr="0061372C" w:rsidRDefault="00CC435C" w:rsidP="000B098A">
                  <w:pPr>
                    <w:pStyle w:val="western"/>
                    <w:spacing w:before="0" w:beforeAutospacing="0" w:after="0" w:afterAutospacing="0"/>
                    <w:contextualSpacing/>
                    <w:jc w:val="center"/>
                    <w:rPr>
                      <w:lang w:val="uk-UA"/>
                    </w:rPr>
                  </w:pPr>
                  <w:r w:rsidRPr="0061372C">
                    <w:rPr>
                      <w:lang w:val="uk-UA"/>
                    </w:rPr>
                    <w:t>3 435645,64</w:t>
                  </w:r>
                </w:p>
              </w:tc>
              <w:tc>
                <w:tcPr>
                  <w:tcW w:w="0" w:type="auto"/>
                  <w:vAlign w:val="center"/>
                  <w:hideMark/>
                </w:tcPr>
                <w:p w:rsidR="00CC435C" w:rsidRPr="0061372C" w:rsidRDefault="00CC435C" w:rsidP="00B70051">
                  <w:pPr>
                    <w:pStyle w:val="western"/>
                    <w:spacing w:before="0" w:beforeAutospacing="0" w:after="0" w:afterAutospacing="0"/>
                    <w:contextualSpacing/>
                    <w:jc w:val="center"/>
                    <w:rPr>
                      <w:lang w:val="uk-UA"/>
                    </w:rPr>
                  </w:pPr>
                  <w:r w:rsidRPr="0061372C">
                    <w:rPr>
                      <w:lang w:val="uk-UA"/>
                    </w:rPr>
                    <w:t>в міру надходження рішень суду</w:t>
                  </w:r>
                </w:p>
              </w:tc>
            </w:tr>
            <w:tr w:rsidR="00CC435C" w:rsidRPr="0061372C" w:rsidTr="00F11146">
              <w:trPr>
                <w:tblCellSpacing w:w="0" w:type="dxa"/>
              </w:trPr>
              <w:tc>
                <w:tcPr>
                  <w:tcW w:w="0" w:type="auto"/>
                  <w:vAlign w:val="center"/>
                  <w:hideMark/>
                </w:tcPr>
                <w:p w:rsidR="00CC435C" w:rsidRPr="0061372C" w:rsidRDefault="00CC435C" w:rsidP="00B70051">
                  <w:pPr>
                    <w:pStyle w:val="western"/>
                    <w:spacing w:before="0" w:beforeAutospacing="0" w:after="0" w:afterAutospacing="0"/>
                    <w:contextualSpacing/>
                    <w:rPr>
                      <w:lang w:val="uk-UA"/>
                    </w:rPr>
                  </w:pPr>
                  <w:r w:rsidRPr="0061372C">
                    <w:rPr>
                      <w:lang w:val="uk-UA"/>
                    </w:rPr>
                    <w:t xml:space="preserve">Сума судових витрат (судовий збір, витрати пов’язані з розглядом справи), виконавчого збору, штрафів та додаткових витрат, які виникли внаслідок несвоєчасного виконання </w:t>
                  </w:r>
                  <w:r w:rsidRPr="0061372C">
                    <w:rPr>
                      <w:lang w:val="uk-UA"/>
                    </w:rPr>
                    <w:lastRenderedPageBreak/>
                    <w:t>чи невиконання рішення суду, та підлягають відшкодуванню, також і витрат, що підлягають безспірному списанню (грн.)</w:t>
                  </w:r>
                </w:p>
              </w:tc>
              <w:tc>
                <w:tcPr>
                  <w:tcW w:w="0" w:type="auto"/>
                  <w:vAlign w:val="center"/>
                  <w:hideMark/>
                </w:tcPr>
                <w:p w:rsidR="00CC435C" w:rsidRPr="0061372C" w:rsidRDefault="00CC435C" w:rsidP="00B70051">
                  <w:pPr>
                    <w:pStyle w:val="western"/>
                    <w:spacing w:before="0" w:beforeAutospacing="0" w:after="0" w:afterAutospacing="0"/>
                    <w:contextualSpacing/>
                    <w:jc w:val="center"/>
                    <w:rPr>
                      <w:lang w:val="uk-UA"/>
                    </w:rPr>
                  </w:pPr>
                </w:p>
              </w:tc>
              <w:tc>
                <w:tcPr>
                  <w:tcW w:w="0" w:type="auto"/>
                  <w:vAlign w:val="center"/>
                  <w:hideMark/>
                </w:tcPr>
                <w:p w:rsidR="00CC435C" w:rsidRPr="0061372C" w:rsidRDefault="00CC435C" w:rsidP="00B70051">
                  <w:pPr>
                    <w:pStyle w:val="western"/>
                    <w:spacing w:before="0" w:beforeAutospacing="0" w:after="0" w:afterAutospacing="0"/>
                    <w:contextualSpacing/>
                    <w:jc w:val="center"/>
                    <w:rPr>
                      <w:lang w:val="uk-UA"/>
                    </w:rPr>
                  </w:pPr>
                </w:p>
              </w:tc>
              <w:tc>
                <w:tcPr>
                  <w:tcW w:w="0" w:type="auto"/>
                  <w:vAlign w:val="center"/>
                  <w:hideMark/>
                </w:tcPr>
                <w:p w:rsidR="00CC435C" w:rsidRPr="0061372C" w:rsidRDefault="00CC435C" w:rsidP="00B70051">
                  <w:pPr>
                    <w:pStyle w:val="western"/>
                    <w:spacing w:before="0" w:beforeAutospacing="0" w:after="0" w:afterAutospacing="0"/>
                    <w:contextualSpacing/>
                    <w:jc w:val="center"/>
                    <w:rPr>
                      <w:lang w:val="uk-UA"/>
                    </w:rPr>
                  </w:pPr>
                  <w:r w:rsidRPr="0061372C">
                    <w:rPr>
                      <w:lang w:val="uk-UA"/>
                    </w:rPr>
                    <w:t>75</w:t>
                  </w:r>
                  <w:r w:rsidR="005171C0" w:rsidRPr="0061372C">
                    <w:rPr>
                      <w:lang w:val="uk-UA"/>
                    </w:rPr>
                    <w:t xml:space="preserve"> </w:t>
                  </w:r>
                  <w:r w:rsidRPr="0061372C">
                    <w:rPr>
                      <w:lang w:val="uk-UA"/>
                    </w:rPr>
                    <w:t>534,68</w:t>
                  </w:r>
                </w:p>
              </w:tc>
              <w:tc>
                <w:tcPr>
                  <w:tcW w:w="0" w:type="auto"/>
                  <w:vAlign w:val="center"/>
                  <w:hideMark/>
                </w:tcPr>
                <w:p w:rsidR="00CC435C" w:rsidRPr="0061372C" w:rsidRDefault="00CC435C" w:rsidP="00B70051">
                  <w:pPr>
                    <w:pStyle w:val="western"/>
                    <w:spacing w:before="0" w:beforeAutospacing="0" w:after="0" w:afterAutospacing="0"/>
                    <w:contextualSpacing/>
                    <w:jc w:val="center"/>
                    <w:rPr>
                      <w:lang w:val="uk-UA"/>
                    </w:rPr>
                  </w:pPr>
                  <w:r w:rsidRPr="0061372C">
                    <w:rPr>
                      <w:lang w:val="uk-UA"/>
                    </w:rPr>
                    <w:t>в міру надходження рішень суду</w:t>
                  </w:r>
                </w:p>
              </w:tc>
            </w:tr>
            <w:tr w:rsidR="00CC435C" w:rsidRPr="0061372C" w:rsidTr="00B70051">
              <w:trPr>
                <w:tblCellSpacing w:w="0" w:type="dxa"/>
              </w:trPr>
              <w:tc>
                <w:tcPr>
                  <w:tcW w:w="0" w:type="auto"/>
                  <w:gridSpan w:val="5"/>
                  <w:hideMark/>
                </w:tcPr>
                <w:p w:rsidR="00CC435C" w:rsidRPr="0061372C" w:rsidRDefault="00CC435C" w:rsidP="00B70051">
                  <w:pPr>
                    <w:pStyle w:val="western"/>
                    <w:spacing w:before="0" w:beforeAutospacing="0" w:after="0" w:afterAutospacing="0"/>
                    <w:contextualSpacing/>
                    <w:jc w:val="center"/>
                    <w:rPr>
                      <w:lang w:val="uk-UA"/>
                    </w:rPr>
                  </w:pPr>
                  <w:r w:rsidRPr="0061372C">
                    <w:rPr>
                      <w:lang w:val="uk-UA"/>
                    </w:rPr>
                    <w:lastRenderedPageBreak/>
                    <w:t>Департамент архітектури та містобудування Черкаської міської ради</w:t>
                  </w:r>
                </w:p>
              </w:tc>
            </w:tr>
            <w:tr w:rsidR="00CC435C" w:rsidRPr="0061372C" w:rsidTr="00F11146">
              <w:trPr>
                <w:tblCellSpacing w:w="0" w:type="dxa"/>
              </w:trPr>
              <w:tc>
                <w:tcPr>
                  <w:tcW w:w="0" w:type="auto"/>
                  <w:vAlign w:val="center"/>
                  <w:hideMark/>
                </w:tcPr>
                <w:p w:rsidR="00CC435C" w:rsidRPr="0061372C" w:rsidRDefault="00CC435C" w:rsidP="00B70051">
                  <w:pPr>
                    <w:pStyle w:val="western"/>
                    <w:spacing w:before="0" w:beforeAutospacing="0" w:after="0" w:afterAutospacing="0"/>
                    <w:contextualSpacing/>
                    <w:rPr>
                      <w:lang w:val="uk-UA"/>
                    </w:rPr>
                  </w:pPr>
                  <w:r w:rsidRPr="0061372C">
                    <w:rPr>
                      <w:lang w:val="uk-UA"/>
                    </w:rPr>
                    <w:t>Кількість рішень суду щодо безспірного списання коштів міського бюджету, боржниками по яких є виконавчі органи міської ради, бюджетні установи, заклади, організації та одержувачі бюджетних коштів, що взяті до виконання (од.)</w:t>
                  </w:r>
                </w:p>
              </w:tc>
              <w:tc>
                <w:tcPr>
                  <w:tcW w:w="0" w:type="auto"/>
                  <w:vAlign w:val="center"/>
                  <w:hideMark/>
                </w:tcPr>
                <w:p w:rsidR="00CC435C" w:rsidRPr="0061372C" w:rsidRDefault="00CC435C" w:rsidP="00B70051">
                  <w:pPr>
                    <w:pStyle w:val="western"/>
                    <w:spacing w:before="0" w:beforeAutospacing="0" w:after="0" w:afterAutospacing="0"/>
                    <w:contextualSpacing/>
                    <w:jc w:val="center"/>
                    <w:rPr>
                      <w:lang w:val="uk-UA"/>
                    </w:rPr>
                  </w:pPr>
                </w:p>
              </w:tc>
              <w:tc>
                <w:tcPr>
                  <w:tcW w:w="0" w:type="auto"/>
                  <w:vAlign w:val="center"/>
                  <w:hideMark/>
                </w:tcPr>
                <w:p w:rsidR="00CC435C" w:rsidRPr="0061372C" w:rsidRDefault="00CC435C" w:rsidP="00B70051">
                  <w:pPr>
                    <w:pStyle w:val="western"/>
                    <w:spacing w:before="0" w:beforeAutospacing="0" w:after="0" w:afterAutospacing="0"/>
                    <w:contextualSpacing/>
                    <w:jc w:val="center"/>
                    <w:rPr>
                      <w:lang w:val="uk-UA"/>
                    </w:rPr>
                  </w:pPr>
                </w:p>
              </w:tc>
              <w:tc>
                <w:tcPr>
                  <w:tcW w:w="0" w:type="auto"/>
                  <w:vAlign w:val="center"/>
                  <w:hideMark/>
                </w:tcPr>
                <w:p w:rsidR="00CC435C" w:rsidRPr="0061372C" w:rsidRDefault="00CC435C" w:rsidP="00B70051">
                  <w:pPr>
                    <w:pStyle w:val="western"/>
                    <w:spacing w:before="0" w:beforeAutospacing="0" w:after="0" w:afterAutospacing="0"/>
                    <w:contextualSpacing/>
                    <w:jc w:val="center"/>
                    <w:rPr>
                      <w:lang w:val="uk-UA"/>
                    </w:rPr>
                  </w:pPr>
                  <w:r w:rsidRPr="0061372C">
                    <w:rPr>
                      <w:lang w:val="uk-UA"/>
                    </w:rPr>
                    <w:t>10</w:t>
                  </w:r>
                </w:p>
              </w:tc>
              <w:tc>
                <w:tcPr>
                  <w:tcW w:w="0" w:type="auto"/>
                  <w:vAlign w:val="center"/>
                  <w:hideMark/>
                </w:tcPr>
                <w:p w:rsidR="00CC435C" w:rsidRPr="0061372C" w:rsidRDefault="00CC435C" w:rsidP="00B70051">
                  <w:pPr>
                    <w:pStyle w:val="western"/>
                    <w:spacing w:before="0" w:beforeAutospacing="0" w:after="0" w:afterAutospacing="0"/>
                    <w:contextualSpacing/>
                    <w:jc w:val="center"/>
                    <w:rPr>
                      <w:lang w:val="uk-UA"/>
                    </w:rPr>
                  </w:pPr>
                  <w:r w:rsidRPr="0061372C">
                    <w:rPr>
                      <w:lang w:val="uk-UA"/>
                    </w:rPr>
                    <w:t xml:space="preserve">20 </w:t>
                  </w:r>
                </w:p>
              </w:tc>
            </w:tr>
            <w:tr w:rsidR="00CC435C" w:rsidRPr="0061372C" w:rsidTr="002E5EF2">
              <w:trPr>
                <w:trHeight w:val="3244"/>
                <w:tblCellSpacing w:w="0" w:type="dxa"/>
              </w:trPr>
              <w:tc>
                <w:tcPr>
                  <w:tcW w:w="0" w:type="auto"/>
                  <w:vAlign w:val="center"/>
                  <w:hideMark/>
                </w:tcPr>
                <w:p w:rsidR="00CC435C" w:rsidRPr="0061372C" w:rsidRDefault="00CC435C" w:rsidP="00B70051">
                  <w:pPr>
                    <w:pStyle w:val="western"/>
                    <w:spacing w:before="0" w:beforeAutospacing="0" w:after="0" w:afterAutospacing="0"/>
                    <w:contextualSpacing/>
                    <w:rPr>
                      <w:lang w:val="uk-UA"/>
                    </w:rPr>
                  </w:pPr>
                  <w:r w:rsidRPr="0061372C">
                    <w:rPr>
                      <w:lang w:val="uk-UA"/>
                    </w:rPr>
                    <w:t>Сума заборгованості, що підлягає безспірному списанню відповідно до рішень суду: основний борг, судові витрати (судовий збір, витрати пов’язані з розглядом справи, тощо), виконавчий збір, пеня, штрафи, інфляційні втрати, відсотки річних, відсотки за користування чужими коштами та інші додаткові витрат, які виникли внаслідок несвоєчасного виконання чи невиконання рішення суду і підлягають відшкодуванню (грн.)</w:t>
                  </w:r>
                </w:p>
              </w:tc>
              <w:tc>
                <w:tcPr>
                  <w:tcW w:w="0" w:type="auto"/>
                  <w:vAlign w:val="center"/>
                  <w:hideMark/>
                </w:tcPr>
                <w:p w:rsidR="00CC435C" w:rsidRPr="0061372C" w:rsidRDefault="00CC435C" w:rsidP="00B70051">
                  <w:pPr>
                    <w:pStyle w:val="western"/>
                    <w:spacing w:before="0" w:beforeAutospacing="0" w:after="0" w:afterAutospacing="0"/>
                    <w:contextualSpacing/>
                    <w:jc w:val="center"/>
                    <w:rPr>
                      <w:lang w:val="uk-UA"/>
                    </w:rPr>
                  </w:pPr>
                </w:p>
              </w:tc>
              <w:tc>
                <w:tcPr>
                  <w:tcW w:w="0" w:type="auto"/>
                  <w:vAlign w:val="center"/>
                  <w:hideMark/>
                </w:tcPr>
                <w:p w:rsidR="00CC435C" w:rsidRPr="0061372C" w:rsidRDefault="00CC435C" w:rsidP="00B70051">
                  <w:pPr>
                    <w:pStyle w:val="western"/>
                    <w:spacing w:before="0" w:beforeAutospacing="0" w:after="0" w:afterAutospacing="0"/>
                    <w:contextualSpacing/>
                    <w:jc w:val="center"/>
                    <w:rPr>
                      <w:lang w:val="uk-UA"/>
                    </w:rPr>
                  </w:pPr>
                </w:p>
              </w:tc>
              <w:tc>
                <w:tcPr>
                  <w:tcW w:w="0" w:type="auto"/>
                  <w:vAlign w:val="center"/>
                  <w:hideMark/>
                </w:tcPr>
                <w:p w:rsidR="00CC435C" w:rsidRPr="0061372C" w:rsidRDefault="00CC435C" w:rsidP="000864C7">
                  <w:pPr>
                    <w:pStyle w:val="western"/>
                    <w:spacing w:before="0" w:beforeAutospacing="0" w:after="0" w:afterAutospacing="0"/>
                    <w:contextualSpacing/>
                    <w:jc w:val="center"/>
                    <w:rPr>
                      <w:lang w:val="uk-UA"/>
                    </w:rPr>
                  </w:pPr>
                  <w:r w:rsidRPr="0061372C">
                    <w:rPr>
                      <w:lang w:val="uk-UA"/>
                    </w:rPr>
                    <w:t>3</w:t>
                  </w:r>
                  <w:r w:rsidR="005171C0" w:rsidRPr="0061372C">
                    <w:rPr>
                      <w:lang w:val="uk-UA"/>
                    </w:rPr>
                    <w:t> </w:t>
                  </w:r>
                  <w:r w:rsidRPr="0061372C">
                    <w:rPr>
                      <w:lang w:val="uk-UA"/>
                    </w:rPr>
                    <w:t>000000,00</w:t>
                  </w:r>
                </w:p>
              </w:tc>
              <w:tc>
                <w:tcPr>
                  <w:tcW w:w="0" w:type="auto"/>
                  <w:vAlign w:val="center"/>
                  <w:hideMark/>
                </w:tcPr>
                <w:p w:rsidR="00CC435C" w:rsidRPr="0061372C" w:rsidRDefault="00CC435C" w:rsidP="00B70051">
                  <w:pPr>
                    <w:pStyle w:val="western"/>
                    <w:spacing w:before="0" w:beforeAutospacing="0" w:after="0" w:afterAutospacing="0"/>
                    <w:contextualSpacing/>
                    <w:jc w:val="center"/>
                    <w:rPr>
                      <w:lang w:val="uk-UA"/>
                    </w:rPr>
                  </w:pPr>
                  <w:r w:rsidRPr="0061372C">
                    <w:rPr>
                      <w:lang w:val="uk-UA"/>
                    </w:rPr>
                    <w:t>6 000 000,00</w:t>
                  </w:r>
                </w:p>
              </w:tc>
            </w:tr>
            <w:tr w:rsidR="00CC435C" w:rsidRPr="0061372C" w:rsidTr="00B70051">
              <w:trPr>
                <w:tblCellSpacing w:w="0" w:type="dxa"/>
              </w:trPr>
              <w:tc>
                <w:tcPr>
                  <w:tcW w:w="0" w:type="auto"/>
                  <w:gridSpan w:val="5"/>
                  <w:vAlign w:val="center"/>
                  <w:hideMark/>
                </w:tcPr>
                <w:p w:rsidR="00CC435C" w:rsidRPr="0061372C" w:rsidRDefault="00CC435C" w:rsidP="00B70051">
                  <w:pPr>
                    <w:pStyle w:val="western"/>
                    <w:spacing w:before="0" w:beforeAutospacing="0" w:after="0" w:afterAutospacing="0"/>
                    <w:contextualSpacing/>
                    <w:jc w:val="center"/>
                    <w:rPr>
                      <w:lang w:val="uk-UA"/>
                    </w:rPr>
                  </w:pPr>
                  <w:r w:rsidRPr="0061372C">
                    <w:rPr>
                      <w:lang w:val="uk-UA"/>
                    </w:rPr>
                    <w:t>Головні розпорядники коштів Черкаської міської ради</w:t>
                  </w:r>
                </w:p>
              </w:tc>
            </w:tr>
            <w:tr w:rsidR="00CC435C" w:rsidRPr="0061372C" w:rsidTr="00F11146">
              <w:trPr>
                <w:tblCellSpacing w:w="0" w:type="dxa"/>
              </w:trPr>
              <w:tc>
                <w:tcPr>
                  <w:tcW w:w="0" w:type="auto"/>
                  <w:vAlign w:val="center"/>
                  <w:hideMark/>
                </w:tcPr>
                <w:p w:rsidR="00CC435C" w:rsidRPr="0061372C" w:rsidRDefault="00CC435C" w:rsidP="00B70051">
                  <w:pPr>
                    <w:pStyle w:val="western"/>
                    <w:spacing w:before="0" w:beforeAutospacing="0" w:after="0" w:afterAutospacing="0"/>
                    <w:contextualSpacing/>
                    <w:rPr>
                      <w:lang w:val="uk-UA"/>
                    </w:rPr>
                  </w:pPr>
                  <w:r w:rsidRPr="0061372C">
                    <w:rPr>
                      <w:lang w:val="uk-UA"/>
                    </w:rPr>
                    <w:t>Сума фактичного погашення заборгованості, що підлягала безспірному списанню відповідно до рішення суду (грн.)</w:t>
                  </w:r>
                </w:p>
              </w:tc>
              <w:tc>
                <w:tcPr>
                  <w:tcW w:w="0" w:type="auto"/>
                  <w:gridSpan w:val="4"/>
                  <w:vAlign w:val="center"/>
                  <w:hideMark/>
                </w:tcPr>
                <w:p w:rsidR="00CC435C" w:rsidRPr="0061372C" w:rsidRDefault="00CC435C" w:rsidP="00B70051">
                  <w:pPr>
                    <w:pStyle w:val="western"/>
                    <w:spacing w:before="0" w:beforeAutospacing="0" w:after="0" w:afterAutospacing="0"/>
                    <w:contextualSpacing/>
                    <w:jc w:val="center"/>
                    <w:rPr>
                      <w:lang w:val="uk-UA"/>
                    </w:rPr>
                  </w:pPr>
                  <w:r w:rsidRPr="0061372C">
                    <w:rPr>
                      <w:lang w:val="uk-UA"/>
                    </w:rPr>
                    <w:t>за результатами річного звіту про виконання міського бюджету</w:t>
                  </w:r>
                </w:p>
              </w:tc>
            </w:tr>
            <w:tr w:rsidR="00CC435C" w:rsidRPr="0061372C" w:rsidTr="00F11146">
              <w:trPr>
                <w:tblCellSpacing w:w="0" w:type="dxa"/>
              </w:trPr>
              <w:tc>
                <w:tcPr>
                  <w:tcW w:w="0" w:type="auto"/>
                  <w:vAlign w:val="center"/>
                  <w:hideMark/>
                </w:tcPr>
                <w:p w:rsidR="00CC435C" w:rsidRPr="0061372C" w:rsidRDefault="00CC435C" w:rsidP="00B70051">
                  <w:pPr>
                    <w:pStyle w:val="western"/>
                    <w:spacing w:before="0" w:beforeAutospacing="0" w:after="0" w:afterAutospacing="0"/>
                    <w:contextualSpacing/>
                    <w:rPr>
                      <w:lang w:val="uk-UA"/>
                    </w:rPr>
                  </w:pPr>
                  <w:r w:rsidRPr="0061372C">
                    <w:rPr>
                      <w:lang w:val="uk-UA"/>
                    </w:rPr>
                    <w:t>Сума фактичного відшкодування судового збору, виконавчого збору, штрафів та додаткових витрат, які виникли внаслідок несвоєчасного виконання чи невиконання рішення суду, тощо (грн.)</w:t>
                  </w:r>
                </w:p>
              </w:tc>
              <w:tc>
                <w:tcPr>
                  <w:tcW w:w="0" w:type="auto"/>
                  <w:gridSpan w:val="4"/>
                  <w:vAlign w:val="center"/>
                  <w:hideMark/>
                </w:tcPr>
                <w:p w:rsidR="00CC435C" w:rsidRPr="0061372C" w:rsidRDefault="00CC435C" w:rsidP="00B70051">
                  <w:pPr>
                    <w:pStyle w:val="western"/>
                    <w:spacing w:before="0" w:beforeAutospacing="0" w:after="0" w:afterAutospacing="0"/>
                    <w:contextualSpacing/>
                    <w:jc w:val="center"/>
                    <w:rPr>
                      <w:lang w:val="uk-UA"/>
                    </w:rPr>
                  </w:pPr>
                  <w:r w:rsidRPr="0061372C">
                    <w:rPr>
                      <w:lang w:val="uk-UA"/>
                    </w:rPr>
                    <w:t>за результатами річного звіту про виконання міського бюджету</w:t>
                  </w:r>
                </w:p>
              </w:tc>
            </w:tr>
          </w:tbl>
          <w:p w:rsidR="002951D0" w:rsidRPr="0061372C" w:rsidRDefault="00CC435C" w:rsidP="000B098A">
            <w:pPr>
              <w:pStyle w:val="western"/>
              <w:spacing w:before="0" w:beforeAutospacing="0" w:after="0" w:afterAutospacing="0"/>
              <w:ind w:firstLine="709"/>
              <w:contextualSpacing/>
              <w:jc w:val="both"/>
              <w:rPr>
                <w:sz w:val="28"/>
                <w:szCs w:val="28"/>
                <w:lang w:val="uk-UA"/>
              </w:rPr>
            </w:pPr>
            <w:r w:rsidRPr="0061372C">
              <w:rPr>
                <w:sz w:val="28"/>
                <w:szCs w:val="28"/>
                <w:lang w:val="uk-UA"/>
              </w:rPr>
              <w:t xml:space="preserve">2. Контроль </w:t>
            </w:r>
            <w:r w:rsidR="002951D0" w:rsidRPr="0061372C">
              <w:rPr>
                <w:sz w:val="28"/>
                <w:szCs w:val="28"/>
                <w:lang w:val="uk-UA"/>
              </w:rPr>
              <w:t xml:space="preserve"> за виконанням рішення покласти на постійну комісію з питань економічного розвитку, інвестиційної політики, дерегуляції, бюджету та фінансів, тарифів та регуляторної політики (Тренкін Ю. В.).</w:t>
            </w:r>
          </w:p>
        </w:tc>
      </w:tr>
      <w:tr w:rsidR="002951D0" w:rsidRPr="0061372C" w:rsidTr="00A3375F">
        <w:trPr>
          <w:jc w:val="center"/>
        </w:trPr>
        <w:tc>
          <w:tcPr>
            <w:tcW w:w="1583" w:type="dxa"/>
            <w:shd w:val="clear" w:color="auto" w:fill="auto"/>
            <w:noWrap/>
            <w:vAlign w:val="center"/>
          </w:tcPr>
          <w:p w:rsidR="002951D0" w:rsidRPr="0061372C" w:rsidRDefault="002951D0" w:rsidP="00A3375F">
            <w:pPr>
              <w:ind w:right="-5"/>
            </w:pPr>
          </w:p>
        </w:tc>
        <w:tc>
          <w:tcPr>
            <w:tcW w:w="685" w:type="dxa"/>
            <w:shd w:val="clear" w:color="auto" w:fill="auto"/>
            <w:noWrap/>
            <w:vAlign w:val="center"/>
          </w:tcPr>
          <w:p w:rsidR="002951D0" w:rsidRPr="0061372C" w:rsidRDefault="002951D0" w:rsidP="00A3375F">
            <w:pPr>
              <w:ind w:right="-5"/>
            </w:pPr>
          </w:p>
        </w:tc>
        <w:tc>
          <w:tcPr>
            <w:tcW w:w="1091" w:type="dxa"/>
            <w:shd w:val="clear" w:color="auto" w:fill="auto"/>
            <w:noWrap/>
            <w:vAlign w:val="center"/>
          </w:tcPr>
          <w:p w:rsidR="002951D0" w:rsidRPr="0061372C" w:rsidRDefault="002951D0" w:rsidP="00A3375F">
            <w:pPr>
              <w:ind w:right="-5"/>
            </w:pPr>
          </w:p>
        </w:tc>
        <w:tc>
          <w:tcPr>
            <w:tcW w:w="794" w:type="dxa"/>
            <w:shd w:val="clear" w:color="auto" w:fill="auto"/>
            <w:noWrap/>
            <w:vAlign w:val="center"/>
          </w:tcPr>
          <w:p w:rsidR="002951D0" w:rsidRPr="0061372C" w:rsidRDefault="002951D0" w:rsidP="00A3375F">
            <w:pPr>
              <w:ind w:right="-5"/>
            </w:pPr>
          </w:p>
        </w:tc>
        <w:tc>
          <w:tcPr>
            <w:tcW w:w="1694" w:type="dxa"/>
            <w:shd w:val="clear" w:color="auto" w:fill="auto"/>
            <w:noWrap/>
            <w:vAlign w:val="center"/>
          </w:tcPr>
          <w:p w:rsidR="002951D0" w:rsidRPr="0061372C" w:rsidRDefault="002951D0" w:rsidP="00A3375F">
            <w:pPr>
              <w:ind w:right="-5"/>
            </w:pPr>
          </w:p>
        </w:tc>
        <w:tc>
          <w:tcPr>
            <w:tcW w:w="762" w:type="dxa"/>
            <w:shd w:val="clear" w:color="auto" w:fill="auto"/>
            <w:noWrap/>
            <w:vAlign w:val="center"/>
          </w:tcPr>
          <w:p w:rsidR="002951D0" w:rsidRPr="0061372C" w:rsidRDefault="002951D0" w:rsidP="00A3375F">
            <w:pPr>
              <w:ind w:right="-5"/>
            </w:pPr>
          </w:p>
        </w:tc>
        <w:tc>
          <w:tcPr>
            <w:tcW w:w="1049" w:type="dxa"/>
            <w:shd w:val="clear" w:color="auto" w:fill="auto"/>
            <w:noWrap/>
            <w:vAlign w:val="center"/>
          </w:tcPr>
          <w:p w:rsidR="002951D0" w:rsidRPr="0061372C" w:rsidRDefault="002951D0" w:rsidP="00A3375F">
            <w:pPr>
              <w:ind w:right="-5"/>
            </w:pPr>
          </w:p>
        </w:tc>
        <w:tc>
          <w:tcPr>
            <w:tcW w:w="1173" w:type="dxa"/>
            <w:gridSpan w:val="2"/>
            <w:shd w:val="clear" w:color="auto" w:fill="auto"/>
            <w:noWrap/>
            <w:vAlign w:val="center"/>
          </w:tcPr>
          <w:p w:rsidR="002951D0" w:rsidRPr="0061372C" w:rsidRDefault="002951D0" w:rsidP="00A3375F">
            <w:pPr>
              <w:ind w:right="-5"/>
            </w:pPr>
          </w:p>
        </w:tc>
        <w:tc>
          <w:tcPr>
            <w:tcW w:w="1095" w:type="dxa"/>
            <w:shd w:val="clear" w:color="auto" w:fill="auto"/>
            <w:noWrap/>
            <w:vAlign w:val="center"/>
          </w:tcPr>
          <w:p w:rsidR="002951D0" w:rsidRPr="0061372C" w:rsidRDefault="002951D0" w:rsidP="00A3375F">
            <w:pPr>
              <w:ind w:right="-5"/>
            </w:pPr>
          </w:p>
        </w:tc>
      </w:tr>
      <w:tr w:rsidR="002951D0" w:rsidRPr="0061372C" w:rsidTr="00A3375F">
        <w:trPr>
          <w:jc w:val="center"/>
        </w:trPr>
        <w:tc>
          <w:tcPr>
            <w:tcW w:w="1583" w:type="dxa"/>
            <w:shd w:val="clear" w:color="auto" w:fill="auto"/>
            <w:noWrap/>
            <w:vAlign w:val="center"/>
          </w:tcPr>
          <w:p w:rsidR="002951D0" w:rsidRPr="0061372C" w:rsidRDefault="002951D0" w:rsidP="00A3375F">
            <w:pPr>
              <w:ind w:right="-5"/>
            </w:pPr>
          </w:p>
        </w:tc>
        <w:tc>
          <w:tcPr>
            <w:tcW w:w="685" w:type="dxa"/>
            <w:shd w:val="clear" w:color="auto" w:fill="auto"/>
            <w:noWrap/>
            <w:vAlign w:val="center"/>
          </w:tcPr>
          <w:p w:rsidR="002951D0" w:rsidRPr="0061372C" w:rsidRDefault="002951D0" w:rsidP="00A3375F">
            <w:pPr>
              <w:ind w:right="-5"/>
            </w:pPr>
          </w:p>
        </w:tc>
        <w:tc>
          <w:tcPr>
            <w:tcW w:w="1091" w:type="dxa"/>
            <w:shd w:val="clear" w:color="auto" w:fill="auto"/>
            <w:noWrap/>
            <w:vAlign w:val="center"/>
          </w:tcPr>
          <w:p w:rsidR="002951D0" w:rsidRPr="0061372C" w:rsidRDefault="002951D0" w:rsidP="00A3375F">
            <w:pPr>
              <w:ind w:right="-5"/>
            </w:pPr>
          </w:p>
        </w:tc>
        <w:tc>
          <w:tcPr>
            <w:tcW w:w="794" w:type="dxa"/>
            <w:shd w:val="clear" w:color="auto" w:fill="auto"/>
            <w:noWrap/>
            <w:vAlign w:val="center"/>
          </w:tcPr>
          <w:p w:rsidR="002951D0" w:rsidRPr="0061372C" w:rsidRDefault="002951D0" w:rsidP="00A3375F">
            <w:pPr>
              <w:ind w:right="-5"/>
            </w:pPr>
          </w:p>
        </w:tc>
        <w:tc>
          <w:tcPr>
            <w:tcW w:w="1694" w:type="dxa"/>
            <w:shd w:val="clear" w:color="auto" w:fill="auto"/>
            <w:noWrap/>
            <w:vAlign w:val="center"/>
          </w:tcPr>
          <w:p w:rsidR="002951D0" w:rsidRPr="0061372C" w:rsidRDefault="002951D0" w:rsidP="00A3375F">
            <w:pPr>
              <w:ind w:right="-5"/>
            </w:pPr>
          </w:p>
        </w:tc>
        <w:tc>
          <w:tcPr>
            <w:tcW w:w="762" w:type="dxa"/>
            <w:shd w:val="clear" w:color="auto" w:fill="auto"/>
            <w:noWrap/>
            <w:vAlign w:val="center"/>
          </w:tcPr>
          <w:p w:rsidR="002951D0" w:rsidRPr="0061372C" w:rsidRDefault="002951D0" w:rsidP="00A3375F">
            <w:pPr>
              <w:ind w:right="-5"/>
            </w:pPr>
          </w:p>
        </w:tc>
        <w:tc>
          <w:tcPr>
            <w:tcW w:w="1049" w:type="dxa"/>
            <w:shd w:val="clear" w:color="auto" w:fill="auto"/>
            <w:noWrap/>
            <w:vAlign w:val="center"/>
          </w:tcPr>
          <w:p w:rsidR="002951D0" w:rsidRPr="0061372C" w:rsidRDefault="002951D0" w:rsidP="00A3375F">
            <w:pPr>
              <w:ind w:right="-5"/>
            </w:pPr>
          </w:p>
        </w:tc>
        <w:tc>
          <w:tcPr>
            <w:tcW w:w="1173" w:type="dxa"/>
            <w:gridSpan w:val="2"/>
            <w:shd w:val="clear" w:color="auto" w:fill="auto"/>
            <w:noWrap/>
            <w:vAlign w:val="center"/>
          </w:tcPr>
          <w:p w:rsidR="002951D0" w:rsidRPr="0061372C" w:rsidRDefault="002951D0" w:rsidP="00A3375F">
            <w:pPr>
              <w:ind w:right="-5"/>
            </w:pPr>
          </w:p>
        </w:tc>
        <w:tc>
          <w:tcPr>
            <w:tcW w:w="1095" w:type="dxa"/>
            <w:shd w:val="clear" w:color="auto" w:fill="auto"/>
            <w:noWrap/>
            <w:vAlign w:val="center"/>
          </w:tcPr>
          <w:p w:rsidR="002951D0" w:rsidRPr="0061372C" w:rsidRDefault="002951D0" w:rsidP="00A3375F">
            <w:pPr>
              <w:ind w:right="-5"/>
            </w:pPr>
          </w:p>
        </w:tc>
      </w:tr>
      <w:tr w:rsidR="002951D0" w:rsidRPr="0061372C" w:rsidTr="00A3375F">
        <w:trPr>
          <w:jc w:val="center"/>
        </w:trPr>
        <w:tc>
          <w:tcPr>
            <w:tcW w:w="3359" w:type="dxa"/>
            <w:gridSpan w:val="3"/>
            <w:shd w:val="clear" w:color="auto" w:fill="auto"/>
            <w:noWrap/>
            <w:vAlign w:val="center"/>
          </w:tcPr>
          <w:p w:rsidR="002951D0" w:rsidRPr="0061372C" w:rsidRDefault="002951D0" w:rsidP="00A3375F">
            <w:pPr>
              <w:ind w:right="-5"/>
            </w:pPr>
            <w:r w:rsidRPr="0061372C">
              <w:rPr>
                <w:b/>
                <w:sz w:val="28"/>
              </w:rPr>
              <w:t>Міський голова</w:t>
            </w:r>
          </w:p>
        </w:tc>
        <w:tc>
          <w:tcPr>
            <w:tcW w:w="794" w:type="dxa"/>
            <w:shd w:val="clear" w:color="auto" w:fill="auto"/>
            <w:noWrap/>
            <w:vAlign w:val="center"/>
          </w:tcPr>
          <w:p w:rsidR="002951D0" w:rsidRPr="0061372C" w:rsidRDefault="002951D0" w:rsidP="00A3375F">
            <w:pPr>
              <w:ind w:right="-5"/>
            </w:pPr>
          </w:p>
        </w:tc>
        <w:tc>
          <w:tcPr>
            <w:tcW w:w="1694" w:type="dxa"/>
            <w:shd w:val="clear" w:color="auto" w:fill="auto"/>
            <w:noWrap/>
            <w:vAlign w:val="center"/>
          </w:tcPr>
          <w:p w:rsidR="002951D0" w:rsidRPr="0061372C" w:rsidRDefault="002951D0" w:rsidP="00A3375F">
            <w:pPr>
              <w:ind w:right="-5"/>
            </w:pPr>
          </w:p>
        </w:tc>
        <w:tc>
          <w:tcPr>
            <w:tcW w:w="762" w:type="dxa"/>
            <w:shd w:val="clear" w:color="auto" w:fill="auto"/>
            <w:noWrap/>
            <w:vAlign w:val="center"/>
          </w:tcPr>
          <w:p w:rsidR="002951D0" w:rsidRPr="0061372C" w:rsidRDefault="002951D0" w:rsidP="00A3375F">
            <w:pPr>
              <w:ind w:right="-5"/>
            </w:pPr>
          </w:p>
        </w:tc>
        <w:tc>
          <w:tcPr>
            <w:tcW w:w="1049" w:type="dxa"/>
            <w:shd w:val="clear" w:color="auto" w:fill="auto"/>
            <w:noWrap/>
            <w:vAlign w:val="center"/>
          </w:tcPr>
          <w:p w:rsidR="002951D0" w:rsidRPr="0061372C" w:rsidRDefault="002951D0" w:rsidP="00A3375F">
            <w:pPr>
              <w:ind w:right="-5"/>
            </w:pPr>
          </w:p>
        </w:tc>
        <w:tc>
          <w:tcPr>
            <w:tcW w:w="2268" w:type="dxa"/>
            <w:gridSpan w:val="3"/>
            <w:shd w:val="clear" w:color="auto" w:fill="auto"/>
            <w:noWrap/>
            <w:vAlign w:val="center"/>
          </w:tcPr>
          <w:p w:rsidR="002951D0" w:rsidRPr="0061372C" w:rsidRDefault="002951D0" w:rsidP="00A3375F">
            <w:pPr>
              <w:ind w:right="-5"/>
              <w:jc w:val="right"/>
              <w:rPr>
                <w:b/>
              </w:rPr>
            </w:pPr>
            <w:r w:rsidRPr="0061372C">
              <w:rPr>
                <w:b/>
                <w:sz w:val="28"/>
                <w:szCs w:val="28"/>
              </w:rPr>
              <w:t>А. В. Бондаренко</w:t>
            </w:r>
          </w:p>
        </w:tc>
      </w:tr>
    </w:tbl>
    <w:p w:rsidR="002951D0" w:rsidRPr="0061372C" w:rsidRDefault="002951D0" w:rsidP="008F0DAE">
      <w:pPr>
        <w:jc w:val="both"/>
        <w:rPr>
          <w:sz w:val="28"/>
          <w:szCs w:val="28"/>
        </w:rPr>
        <w:sectPr w:rsidR="002951D0" w:rsidRPr="0061372C" w:rsidSect="002951D0">
          <w:pgSz w:w="11906" w:h="16838"/>
          <w:pgMar w:top="1134" w:right="567" w:bottom="1134" w:left="1134" w:header="709" w:footer="709" w:gutter="0"/>
          <w:cols w:space="708"/>
          <w:docGrid w:linePitch="360"/>
        </w:sectPr>
      </w:pPr>
    </w:p>
    <w:tbl>
      <w:tblPr>
        <w:tblW w:w="10205" w:type="dxa"/>
        <w:jc w:val="center"/>
        <w:tblCellMar>
          <w:left w:w="0" w:type="dxa"/>
          <w:right w:w="0" w:type="dxa"/>
        </w:tblCellMar>
        <w:tblLook w:val="04A0" w:firstRow="1" w:lastRow="0" w:firstColumn="1" w:lastColumn="0" w:noHBand="0" w:noVBand="1"/>
      </w:tblPr>
      <w:tblGrid>
        <w:gridCol w:w="3197"/>
        <w:gridCol w:w="849"/>
        <w:gridCol w:w="1742"/>
        <w:gridCol w:w="813"/>
        <w:gridCol w:w="1070"/>
        <w:gridCol w:w="2534"/>
      </w:tblGrid>
      <w:tr w:rsidR="002951D0" w:rsidRPr="0061372C" w:rsidTr="004253D7">
        <w:trPr>
          <w:jc w:val="center"/>
        </w:trPr>
        <w:tc>
          <w:tcPr>
            <w:tcW w:w="10205" w:type="dxa"/>
            <w:gridSpan w:val="6"/>
            <w:shd w:val="clear" w:color="auto" w:fill="auto"/>
            <w:noWrap/>
            <w:vAlign w:val="center"/>
          </w:tcPr>
          <w:p w:rsidR="002951D0" w:rsidRPr="0061372C" w:rsidRDefault="002951D0" w:rsidP="00A3375F">
            <w:pPr>
              <w:tabs>
                <w:tab w:val="left" w:pos="4095"/>
                <w:tab w:val="left" w:pos="4473"/>
              </w:tabs>
              <w:ind w:left="108" w:right="103" w:firstLine="600"/>
              <w:jc w:val="center"/>
            </w:pPr>
            <w:r w:rsidRPr="0061372C">
              <w:lastRenderedPageBreak/>
              <w:br w:type="page"/>
            </w:r>
            <w:r w:rsidRPr="0061372C">
              <w:rPr>
                <w:spacing w:val="8"/>
                <w:sz w:val="22"/>
                <w:szCs w:val="22"/>
              </w:rPr>
              <w:object w:dxaOrig="2775" w:dyaOrig="2565">
                <v:shape id="_x0000_i1026" type="#_x0000_t75" style="width:33.75pt;height:33pt" o:ole="">
                  <v:imagedata r:id="rId13" o:title=""/>
                </v:shape>
                <o:OLEObject Type="Embed" ProgID="PBrush" ShapeID="_x0000_i1026" DrawAspect="Content" ObjectID="_1661926115" r:id="rId14"/>
              </w:object>
            </w:r>
          </w:p>
          <w:p w:rsidR="002951D0" w:rsidRPr="0061372C" w:rsidRDefault="002951D0" w:rsidP="00A3375F">
            <w:pPr>
              <w:ind w:firstLine="601"/>
              <w:jc w:val="center"/>
            </w:pPr>
            <w:r w:rsidRPr="0061372C">
              <w:t>УКРАЇНА</w:t>
            </w:r>
          </w:p>
          <w:p w:rsidR="002951D0" w:rsidRPr="0061372C" w:rsidRDefault="002951D0" w:rsidP="00A3375F">
            <w:pPr>
              <w:pStyle w:val="1"/>
              <w:spacing w:before="0" w:after="0"/>
              <w:ind w:firstLine="601"/>
              <w:jc w:val="center"/>
              <w:rPr>
                <w:rFonts w:ascii="Times New Roman" w:hAnsi="Times New Roman"/>
                <w:lang w:val="uk-UA"/>
              </w:rPr>
            </w:pPr>
            <w:r w:rsidRPr="0061372C">
              <w:rPr>
                <w:rFonts w:ascii="Times New Roman" w:hAnsi="Times New Roman"/>
                <w:lang w:val="uk-UA"/>
              </w:rPr>
              <w:t>Черкаська міська рада</w:t>
            </w:r>
          </w:p>
          <w:p w:rsidR="002951D0" w:rsidRPr="0061372C" w:rsidRDefault="002951D0" w:rsidP="00A3375F">
            <w:pPr>
              <w:ind w:firstLine="601"/>
              <w:jc w:val="center"/>
              <w:rPr>
                <w:b/>
                <w:sz w:val="28"/>
              </w:rPr>
            </w:pPr>
            <w:r w:rsidRPr="0061372C">
              <w:rPr>
                <w:b/>
                <w:sz w:val="32"/>
              </w:rPr>
              <w:t>Департамент охорони здоров’я та медичних послуг</w:t>
            </w:r>
          </w:p>
          <w:p w:rsidR="002951D0" w:rsidRPr="0061372C" w:rsidRDefault="002951D0" w:rsidP="00A3375F">
            <w:pPr>
              <w:jc w:val="center"/>
            </w:pPr>
            <w:r w:rsidRPr="0061372C">
              <w:rPr>
                <w:sz w:val="22"/>
              </w:rPr>
              <w:t xml:space="preserve">вул. Байди Вишневецького, </w:t>
            </w:r>
            <w:smartTag w:uri="urn:schemas-microsoft-com:office:smarttags" w:element="metricconverter">
              <w:smartTagPr>
                <w:attr w:name="ProductID" w:val="36, м"/>
              </w:smartTagPr>
              <w:r w:rsidRPr="0061372C">
                <w:rPr>
                  <w:sz w:val="22"/>
                </w:rPr>
                <w:t>36, м</w:t>
              </w:r>
            </w:smartTag>
            <w:r w:rsidRPr="0061372C">
              <w:rPr>
                <w:sz w:val="22"/>
              </w:rPr>
              <w:t xml:space="preserve">.Черкаси, 18000,  тел: (0472) 37-24-56, </w:t>
            </w:r>
            <w:r w:rsidRPr="0061372C">
              <w:rPr>
                <w:sz w:val="22"/>
                <w:lang w:val="en-US"/>
              </w:rPr>
              <w:t>fax</w:t>
            </w:r>
            <w:r w:rsidRPr="0061372C">
              <w:rPr>
                <w:sz w:val="22"/>
              </w:rPr>
              <w:t>:(0472) 33-79-47</w:t>
            </w:r>
          </w:p>
          <w:p w:rsidR="002951D0" w:rsidRPr="0061372C" w:rsidRDefault="002951D0" w:rsidP="00A3375F">
            <w:pPr>
              <w:ind w:firstLine="601"/>
              <w:jc w:val="center"/>
              <w:rPr>
                <w:sz w:val="26"/>
                <w:lang w:val="en-US"/>
              </w:rPr>
            </w:pPr>
            <w:r w:rsidRPr="0061372C">
              <w:rPr>
                <w:sz w:val="22"/>
                <w:szCs w:val="22"/>
                <w:lang w:val="en-US"/>
              </w:rPr>
              <w:t xml:space="preserve">E-mail: </w:t>
            </w:r>
            <w:hyperlink r:id="rId15" w:history="1">
              <w:r w:rsidRPr="0061372C">
                <w:rPr>
                  <w:rStyle w:val="a3"/>
                  <w:color w:val="auto"/>
                  <w:sz w:val="22"/>
                  <w:szCs w:val="22"/>
                  <w:lang w:val="en-US"/>
                </w:rPr>
                <w:t>dozmpchmr@gmail.com</w:t>
              </w:r>
            </w:hyperlink>
            <w:r w:rsidRPr="0061372C">
              <w:rPr>
                <w:sz w:val="22"/>
                <w:szCs w:val="22"/>
                <w:lang w:val="en-US"/>
              </w:rPr>
              <w:t xml:space="preserve">, </w:t>
            </w:r>
            <w:r w:rsidRPr="0061372C">
              <w:rPr>
                <w:sz w:val="22"/>
                <w:szCs w:val="22"/>
              </w:rPr>
              <w:t>код</w:t>
            </w:r>
            <w:r w:rsidRPr="0061372C">
              <w:rPr>
                <w:sz w:val="22"/>
                <w:szCs w:val="22"/>
                <w:lang w:val="en-US"/>
              </w:rPr>
              <w:t xml:space="preserve">  </w:t>
            </w:r>
            <w:r w:rsidRPr="0061372C">
              <w:rPr>
                <w:sz w:val="22"/>
                <w:szCs w:val="22"/>
              </w:rPr>
              <w:t>ЄДРПОУ</w:t>
            </w:r>
            <w:r w:rsidRPr="0061372C">
              <w:rPr>
                <w:sz w:val="22"/>
                <w:szCs w:val="22"/>
                <w:lang w:val="en-US"/>
              </w:rPr>
              <w:t xml:space="preserve">  02013260</w:t>
            </w:r>
          </w:p>
          <w:p w:rsidR="002951D0" w:rsidRPr="0061372C" w:rsidRDefault="002951D0" w:rsidP="00A3375F">
            <w:pPr>
              <w:ind w:left="108" w:right="103" w:firstLine="600"/>
              <w:rPr>
                <w:sz w:val="28"/>
                <w:szCs w:val="28"/>
              </w:rPr>
            </w:pPr>
          </w:p>
          <w:p w:rsidR="002951D0" w:rsidRPr="0061372C" w:rsidRDefault="002951D0" w:rsidP="00A3375F">
            <w:pPr>
              <w:ind w:left="108" w:right="103" w:firstLine="600"/>
              <w:jc w:val="center"/>
              <w:rPr>
                <w:sz w:val="28"/>
                <w:szCs w:val="28"/>
              </w:rPr>
            </w:pPr>
            <w:r w:rsidRPr="0061372C">
              <w:rPr>
                <w:sz w:val="28"/>
                <w:szCs w:val="28"/>
              </w:rPr>
              <w:t>Пояснювальна записка</w:t>
            </w:r>
          </w:p>
          <w:p w:rsidR="002951D0" w:rsidRPr="0061372C" w:rsidRDefault="002951D0" w:rsidP="00A3375F">
            <w:pPr>
              <w:ind w:left="108" w:right="103" w:firstLine="600"/>
              <w:jc w:val="center"/>
              <w:rPr>
                <w:sz w:val="28"/>
                <w:szCs w:val="28"/>
              </w:rPr>
            </w:pPr>
            <w:r w:rsidRPr="0061372C">
              <w:rPr>
                <w:sz w:val="28"/>
                <w:szCs w:val="28"/>
              </w:rPr>
              <w:t>до про</w:t>
            </w:r>
            <w:r w:rsidR="00627DF3" w:rsidRPr="0061372C">
              <w:rPr>
                <w:sz w:val="28"/>
                <w:szCs w:val="28"/>
              </w:rPr>
              <w:t>є</w:t>
            </w:r>
            <w:r w:rsidRPr="0061372C">
              <w:rPr>
                <w:sz w:val="28"/>
                <w:szCs w:val="28"/>
              </w:rPr>
              <w:t>кту рішення Черкаської міської ради</w:t>
            </w:r>
          </w:p>
          <w:p w:rsidR="002951D0" w:rsidRPr="0061372C" w:rsidRDefault="002951D0" w:rsidP="00A3375F">
            <w:pPr>
              <w:pStyle w:val="western"/>
              <w:spacing w:before="0" w:beforeAutospacing="0" w:after="0" w:afterAutospacing="0"/>
              <w:jc w:val="center"/>
              <w:rPr>
                <w:sz w:val="28"/>
                <w:lang w:val="uk-UA"/>
              </w:rPr>
            </w:pPr>
            <w:r w:rsidRPr="0061372C">
              <w:rPr>
                <w:b/>
                <w:sz w:val="28"/>
                <w:szCs w:val="28"/>
                <w:lang w:val="uk-UA"/>
              </w:rPr>
              <w:t>«</w:t>
            </w:r>
            <w:r w:rsidRPr="0061372C">
              <w:rPr>
                <w:b/>
                <w:bCs/>
                <w:sz w:val="28"/>
                <w:szCs w:val="27"/>
                <w:lang w:val="uk-UA"/>
              </w:rPr>
              <w:t>Про внесення змін до рішення</w:t>
            </w:r>
          </w:p>
          <w:p w:rsidR="002951D0" w:rsidRPr="0061372C" w:rsidRDefault="002951D0" w:rsidP="00A3375F">
            <w:pPr>
              <w:ind w:left="108" w:right="103" w:firstLine="600"/>
              <w:jc w:val="center"/>
              <w:rPr>
                <w:b/>
                <w:sz w:val="32"/>
                <w:szCs w:val="28"/>
              </w:rPr>
            </w:pPr>
            <w:r w:rsidRPr="0061372C">
              <w:rPr>
                <w:b/>
                <w:bCs/>
                <w:sz w:val="28"/>
                <w:szCs w:val="27"/>
              </w:rPr>
              <w:t xml:space="preserve">Черкаської міської ради від 12.05.2017 № </w:t>
            </w:r>
            <w:hyperlink r:id="rId16" w:tgtFrame="_blank" w:history="1">
              <w:r w:rsidRPr="0061372C">
                <w:rPr>
                  <w:rStyle w:val="a3"/>
                  <w:b/>
                  <w:bCs/>
                  <w:color w:val="auto"/>
                  <w:sz w:val="28"/>
                  <w:szCs w:val="27"/>
                  <w:u w:val="none"/>
                </w:rPr>
                <w:t>2-1995</w:t>
              </w:r>
            </w:hyperlink>
            <w:r w:rsidRPr="0061372C">
              <w:rPr>
                <w:b/>
                <w:bCs/>
                <w:sz w:val="28"/>
                <w:szCs w:val="27"/>
              </w:rPr>
              <w:t xml:space="preserve"> «Про затвердження Програми для забезпечення виконання рішень суду на 2017-2020 роки»</w:t>
            </w:r>
            <w:r w:rsidRPr="0061372C">
              <w:rPr>
                <w:b/>
                <w:sz w:val="28"/>
                <w:szCs w:val="28"/>
              </w:rPr>
              <w:t>»</w:t>
            </w:r>
          </w:p>
          <w:p w:rsidR="002951D0" w:rsidRPr="0061372C" w:rsidRDefault="002951D0" w:rsidP="00A3375F">
            <w:pPr>
              <w:ind w:left="108" w:right="103" w:firstLine="600"/>
              <w:jc w:val="center"/>
              <w:rPr>
                <w:sz w:val="20"/>
                <w:szCs w:val="20"/>
              </w:rPr>
            </w:pPr>
          </w:p>
          <w:p w:rsidR="003155F2" w:rsidRPr="0061372C" w:rsidRDefault="003155F2" w:rsidP="00F82F84">
            <w:pPr>
              <w:widowControl w:val="0"/>
              <w:autoSpaceDE w:val="0"/>
              <w:autoSpaceDN w:val="0"/>
              <w:adjustRightInd w:val="0"/>
              <w:ind w:right="103" w:firstLine="567"/>
              <w:jc w:val="both"/>
              <w:rPr>
                <w:rFonts w:eastAsia="Calibri"/>
                <w:sz w:val="28"/>
                <w:szCs w:val="28"/>
              </w:rPr>
            </w:pPr>
            <w:r w:rsidRPr="0061372C">
              <w:rPr>
                <w:rFonts w:eastAsia="Calibri"/>
                <w:sz w:val="28"/>
                <w:szCs w:val="28"/>
              </w:rPr>
              <w:t>Рішенням Черкаської обласної ради від 19.09.2014 №34-5/VI затверджена обласна програма «Надання медичної допомоги хворим нефрологічного профілю на 2014-2017 роки» (зі змінами), якою Черкаською обласною радою передано органам місцевого самоврядування свої владні повноваження в галузі вирішення проблем лікування пацієнтів з хронічною нирковою недостатністю., якою Черкаською обласною радою передано органам місцевого самоврядування свої владні повноваження в галузі вирішення проблем лікування пацієнтів з хронічною нирковою недостатністю, з неналежним фінансуванням.</w:t>
            </w:r>
          </w:p>
          <w:p w:rsidR="003155F2" w:rsidRPr="0061372C" w:rsidRDefault="003155F2" w:rsidP="00F82F84">
            <w:pPr>
              <w:tabs>
                <w:tab w:val="center" w:pos="4960"/>
              </w:tabs>
              <w:ind w:right="103" w:firstLine="567"/>
              <w:jc w:val="both"/>
              <w:rPr>
                <w:sz w:val="28"/>
                <w:szCs w:val="28"/>
              </w:rPr>
            </w:pPr>
            <w:r w:rsidRPr="0061372C">
              <w:rPr>
                <w:sz w:val="28"/>
                <w:szCs w:val="28"/>
              </w:rPr>
              <w:t>Не зважаючи на численні звернення до Черкаської облдержадміністрації, обсягів субвенції, які давались з обласного бюджету на виконання обласної програми протягом 2016-2017 років, систематично не вистачало для повного розрахунку за послуги ТОВ «Фрезеніус Медикал Кер Україна». Зрештою це призвело до судових позовів до департаменту охорони здоров’я та медичних послуг Черкаської міської ради про стягнення кредиторської заборгованості за 2016-2017 роки на користь ТОВ «Фрезеніус Медикал Кер Україна» за послуги, які були надані пацієнтам ТОВ «Фрезеніус Медикал Кер Україна» у періоди, які не охоплені договорами (01.01.2016 - 28.04.2016; 03.03.2017 - 19.03.2017; 05.06.2017 - 23.07.2017).</w:t>
            </w:r>
          </w:p>
          <w:p w:rsidR="003155F2" w:rsidRPr="0061372C" w:rsidRDefault="003155F2" w:rsidP="00F82F84">
            <w:pPr>
              <w:ind w:right="103" w:firstLine="567"/>
              <w:jc w:val="both"/>
              <w:rPr>
                <w:sz w:val="28"/>
                <w:szCs w:val="28"/>
              </w:rPr>
            </w:pPr>
            <w:r w:rsidRPr="0061372C">
              <w:rPr>
                <w:sz w:val="28"/>
                <w:szCs w:val="28"/>
              </w:rPr>
              <w:t>Повідомляємо, що набрали законної сили наступні судові рішення:</w:t>
            </w:r>
          </w:p>
          <w:p w:rsidR="003155F2" w:rsidRPr="0061372C" w:rsidRDefault="003155F2" w:rsidP="00F82F84">
            <w:pPr>
              <w:numPr>
                <w:ilvl w:val="0"/>
                <w:numId w:val="4"/>
              </w:numPr>
              <w:ind w:left="0" w:right="103" w:firstLine="567"/>
              <w:jc w:val="both"/>
              <w:rPr>
                <w:bCs/>
                <w:sz w:val="28"/>
                <w:szCs w:val="28"/>
              </w:rPr>
            </w:pPr>
            <w:r w:rsidRPr="0061372C">
              <w:rPr>
                <w:rStyle w:val="rvts0"/>
                <w:sz w:val="28"/>
                <w:szCs w:val="28"/>
              </w:rPr>
              <w:t>р</w:t>
            </w:r>
            <w:r w:rsidRPr="0061372C">
              <w:rPr>
                <w:sz w:val="28"/>
                <w:szCs w:val="28"/>
              </w:rPr>
              <w:t xml:space="preserve">ішення господарського суду Черкаської області від 24.09.2019 </w:t>
            </w:r>
            <w:r w:rsidRPr="0061372C">
              <w:rPr>
                <w:rStyle w:val="a5"/>
                <w:b w:val="0"/>
                <w:sz w:val="28"/>
                <w:szCs w:val="28"/>
              </w:rPr>
              <w:t>та постанова</w:t>
            </w:r>
            <w:r w:rsidRPr="0061372C">
              <w:rPr>
                <w:sz w:val="28"/>
                <w:szCs w:val="28"/>
              </w:rPr>
              <w:t xml:space="preserve"> Північного апеляційного господарського суду від 06.02.2020 року по справі №925/446/19 щодо стягнення на користь ТОВ «Фрезеніус Медикал Кер Україна» заборгованості за послуги у сумі 5 432 396,76 грн.</w:t>
            </w:r>
            <w:r w:rsidR="00F82F84" w:rsidRPr="0061372C">
              <w:rPr>
                <w:sz w:val="28"/>
                <w:szCs w:val="28"/>
              </w:rPr>
              <w:t xml:space="preserve"> та 81 485, 95 грн. судових витрат</w:t>
            </w:r>
            <w:r w:rsidRPr="0061372C">
              <w:rPr>
                <w:sz w:val="28"/>
                <w:szCs w:val="28"/>
              </w:rPr>
              <w:t>;</w:t>
            </w:r>
          </w:p>
          <w:p w:rsidR="003155F2" w:rsidRPr="0061372C" w:rsidRDefault="003155F2" w:rsidP="00F82F84">
            <w:pPr>
              <w:numPr>
                <w:ilvl w:val="0"/>
                <w:numId w:val="4"/>
              </w:numPr>
              <w:ind w:left="0" w:right="103" w:firstLine="567"/>
              <w:jc w:val="both"/>
              <w:rPr>
                <w:bCs/>
                <w:sz w:val="28"/>
                <w:szCs w:val="28"/>
              </w:rPr>
            </w:pPr>
            <w:r w:rsidRPr="0061372C">
              <w:rPr>
                <w:rStyle w:val="rvts0"/>
                <w:sz w:val="28"/>
                <w:szCs w:val="28"/>
              </w:rPr>
              <w:t>р</w:t>
            </w:r>
            <w:r w:rsidRPr="0061372C">
              <w:rPr>
                <w:sz w:val="28"/>
                <w:szCs w:val="28"/>
              </w:rPr>
              <w:t xml:space="preserve">ішення господарського суду Черкаської області від 01.11.2019 </w:t>
            </w:r>
            <w:r w:rsidRPr="0061372C">
              <w:rPr>
                <w:rStyle w:val="a5"/>
                <w:b w:val="0"/>
                <w:sz w:val="28"/>
                <w:szCs w:val="28"/>
              </w:rPr>
              <w:t>та постанова</w:t>
            </w:r>
            <w:r w:rsidRPr="0061372C">
              <w:rPr>
                <w:sz w:val="28"/>
                <w:szCs w:val="28"/>
              </w:rPr>
              <w:t xml:space="preserve"> Північного апеляційного господарського суду від 10.02.2020 року по справі №925/482/19 щодо стягнення на користь ТОВ «Фрезеніус Медикал Кер Україна» заборгованості за послуги у сумі 3 101 068,80 грн.</w:t>
            </w:r>
            <w:r w:rsidR="00F82F84" w:rsidRPr="0061372C">
              <w:rPr>
                <w:sz w:val="28"/>
                <w:szCs w:val="28"/>
              </w:rPr>
              <w:t xml:space="preserve"> та </w:t>
            </w:r>
            <w:r w:rsidR="00F82F84" w:rsidRPr="0061372C">
              <w:rPr>
                <w:sz w:val="28"/>
              </w:rPr>
              <w:t>46 516,03 грн. судового збору</w:t>
            </w:r>
            <w:r w:rsidR="00F82F84" w:rsidRPr="0061372C">
              <w:rPr>
                <w:shd w:val="clear" w:color="auto" w:fill="FFFFCC"/>
              </w:rPr>
              <w:t>.</w:t>
            </w:r>
          </w:p>
          <w:p w:rsidR="003155F2" w:rsidRPr="0061372C" w:rsidRDefault="003155F2" w:rsidP="00F82F84">
            <w:pPr>
              <w:ind w:right="103" w:firstLine="567"/>
              <w:jc w:val="both"/>
              <w:rPr>
                <w:sz w:val="28"/>
                <w:szCs w:val="28"/>
                <w:lang w:eastAsia="ru-RU"/>
              </w:rPr>
            </w:pPr>
            <w:r w:rsidRPr="0061372C">
              <w:rPr>
                <w:rStyle w:val="rvts0"/>
                <w:sz w:val="28"/>
                <w:szCs w:val="28"/>
              </w:rPr>
              <w:t xml:space="preserve">Крім того, додатковими рішеннями </w:t>
            </w:r>
            <w:r w:rsidRPr="0061372C">
              <w:rPr>
                <w:sz w:val="28"/>
                <w:szCs w:val="28"/>
              </w:rPr>
              <w:t xml:space="preserve">господарського суду Черкаської області від 25.10.2019 по справі №925/446/19 та від 20.11.2019 року по справі №925/482/19 підлягають стягненню суми </w:t>
            </w:r>
            <w:r w:rsidRPr="0061372C">
              <w:rPr>
                <w:sz w:val="28"/>
                <w:szCs w:val="28"/>
                <w:lang w:eastAsia="ru-RU"/>
              </w:rPr>
              <w:t xml:space="preserve">витрат, понесених </w:t>
            </w:r>
            <w:r w:rsidRPr="0061372C">
              <w:rPr>
                <w:sz w:val="28"/>
                <w:szCs w:val="28"/>
              </w:rPr>
              <w:t xml:space="preserve">ТОВ «Фрезеніус Медикал Кер Україна» </w:t>
            </w:r>
            <w:r w:rsidRPr="0061372C">
              <w:rPr>
                <w:sz w:val="28"/>
                <w:szCs w:val="28"/>
                <w:lang w:eastAsia="ru-RU"/>
              </w:rPr>
              <w:t xml:space="preserve">на правничу допомогу, у сумі 161 816,33 грн. </w:t>
            </w:r>
          </w:p>
          <w:p w:rsidR="003155F2" w:rsidRPr="0061372C" w:rsidRDefault="003155F2" w:rsidP="00F82F84">
            <w:pPr>
              <w:ind w:right="103" w:firstLine="567"/>
              <w:jc w:val="both"/>
              <w:rPr>
                <w:sz w:val="28"/>
                <w:szCs w:val="28"/>
                <w:lang w:eastAsia="ru-RU"/>
              </w:rPr>
            </w:pPr>
            <w:r w:rsidRPr="0061372C">
              <w:rPr>
                <w:rStyle w:val="rvts0"/>
                <w:sz w:val="28"/>
                <w:szCs w:val="28"/>
              </w:rPr>
              <w:lastRenderedPageBreak/>
              <w:t xml:space="preserve">Додатковими постановами </w:t>
            </w:r>
            <w:r w:rsidRPr="0061372C">
              <w:rPr>
                <w:sz w:val="28"/>
                <w:szCs w:val="28"/>
              </w:rPr>
              <w:t xml:space="preserve">Північного апеляційного господарського суду від 24.02.2020 року по справі №925/446/19 та від 26.02.2020 року по справі №925/482/19 підлягають стягненню суми </w:t>
            </w:r>
            <w:r w:rsidRPr="0061372C">
              <w:rPr>
                <w:sz w:val="28"/>
                <w:szCs w:val="28"/>
                <w:lang w:eastAsia="ru-RU"/>
              </w:rPr>
              <w:t xml:space="preserve">витрат, понесених </w:t>
            </w:r>
            <w:r w:rsidRPr="0061372C">
              <w:rPr>
                <w:sz w:val="28"/>
                <w:szCs w:val="28"/>
              </w:rPr>
              <w:t xml:space="preserve">ТОВ «Фрезеніус Медикал Кер Україна» </w:t>
            </w:r>
            <w:r w:rsidRPr="0061372C">
              <w:rPr>
                <w:sz w:val="28"/>
                <w:szCs w:val="28"/>
                <w:lang w:eastAsia="ru-RU"/>
              </w:rPr>
              <w:t xml:space="preserve">на правничу допомогу у зв`язку з розглядом справ в суді апеляційної інстанції, у сумі 127 874,38 грн. </w:t>
            </w:r>
          </w:p>
          <w:p w:rsidR="00F81738" w:rsidRPr="0061372C" w:rsidRDefault="00F81738" w:rsidP="00F82F84">
            <w:pPr>
              <w:ind w:right="103" w:firstLine="567"/>
              <w:jc w:val="both"/>
              <w:rPr>
                <w:rStyle w:val="rvts0"/>
                <w:sz w:val="28"/>
                <w:szCs w:val="28"/>
              </w:rPr>
            </w:pPr>
            <w:r w:rsidRPr="0061372C">
              <w:rPr>
                <w:rStyle w:val="rvts0"/>
                <w:sz w:val="28"/>
                <w:szCs w:val="28"/>
              </w:rPr>
              <w:t xml:space="preserve">Відповідно до </w:t>
            </w:r>
            <w:hyperlink r:id="rId17" w:anchor="n67" w:tgtFrame="_blank" w:history="1">
              <w:r w:rsidRPr="0061372C">
                <w:rPr>
                  <w:rStyle w:val="rvts0"/>
                  <w:sz w:val="28"/>
                  <w:szCs w:val="28"/>
                </w:rPr>
                <w:t>пункту 2</w:t>
              </w:r>
            </w:hyperlink>
            <w:r w:rsidRPr="0061372C">
              <w:rPr>
                <w:rStyle w:val="rvts0"/>
                <w:sz w:val="28"/>
                <w:szCs w:val="28"/>
              </w:rPr>
              <w:t xml:space="preserve"> розділу II Закону України</w:t>
            </w:r>
            <w:r w:rsidRPr="0061372C">
              <w:rPr>
                <w:sz w:val="28"/>
                <w:szCs w:val="28"/>
                <w:lang w:eastAsia="ru-RU"/>
              </w:rPr>
              <w:t xml:space="preserve"> №553-ІХ «</w:t>
            </w:r>
            <w:r w:rsidRPr="0061372C">
              <w:rPr>
                <w:rStyle w:val="rvts23"/>
                <w:sz w:val="28"/>
                <w:szCs w:val="28"/>
              </w:rPr>
              <w:t xml:space="preserve">Про внесення змін до Закону України "Про Державний бюджет України на 2020 рік"» до 01 січня 2021 року не застосовувалась норма ч.1 ст.25 Бюджетного кодексу України, а саме: </w:t>
            </w:r>
            <w:r w:rsidRPr="0061372C">
              <w:rPr>
                <w:rStyle w:val="rvts0"/>
                <w:sz w:val="28"/>
                <w:szCs w:val="28"/>
              </w:rPr>
              <w:t>Казначейство України не здійснювало безспірне списання коштів державного бюджету та місцевих бюджетів на підставі рішення суду.</w:t>
            </w:r>
          </w:p>
          <w:p w:rsidR="00F81738" w:rsidRPr="0061372C" w:rsidRDefault="00F81738" w:rsidP="00F82F84">
            <w:pPr>
              <w:ind w:right="103" w:firstLine="567"/>
              <w:jc w:val="both"/>
              <w:rPr>
                <w:sz w:val="28"/>
                <w:szCs w:val="28"/>
                <w:lang w:eastAsia="ru-RU"/>
              </w:rPr>
            </w:pPr>
            <w:r w:rsidRPr="0061372C">
              <w:rPr>
                <w:sz w:val="28"/>
                <w:szCs w:val="28"/>
              </w:rPr>
              <w:t>Відповідно до рішення Конституційного Суду України від 28.08.2020 №10-р/2020 у справі № 1-14/2020(230/20) положення Закону України «Про внесення змін до Закону України "Про Державний бюджет України на 2020 рік“» №553–ІХ</w:t>
            </w:r>
            <w:r w:rsidR="009002EA" w:rsidRPr="0061372C">
              <w:rPr>
                <w:sz w:val="28"/>
                <w:szCs w:val="28"/>
              </w:rPr>
              <w:t xml:space="preserve"> </w:t>
            </w:r>
            <w:r w:rsidRPr="0061372C">
              <w:rPr>
                <w:sz w:val="28"/>
                <w:szCs w:val="28"/>
              </w:rPr>
              <w:t>визнані неконституційними, втрачають чинність з дня ухвалення Конституційним Судом України цього рішення.</w:t>
            </w:r>
          </w:p>
          <w:p w:rsidR="003155F2" w:rsidRPr="0061372C" w:rsidRDefault="00F81738" w:rsidP="00F82F84">
            <w:pPr>
              <w:ind w:right="103" w:firstLine="567"/>
              <w:jc w:val="both"/>
              <w:rPr>
                <w:rStyle w:val="rvts0"/>
                <w:sz w:val="28"/>
                <w:szCs w:val="28"/>
              </w:rPr>
            </w:pPr>
            <w:r w:rsidRPr="0061372C">
              <w:rPr>
                <w:bCs/>
                <w:sz w:val="28"/>
                <w:szCs w:val="28"/>
              </w:rPr>
              <w:t>Найближчим часом очікується блокування рахунків департаменту охорони здоров’я та медичних послуг</w:t>
            </w:r>
            <w:r w:rsidRPr="0061372C">
              <w:rPr>
                <w:sz w:val="28"/>
                <w:szCs w:val="28"/>
              </w:rPr>
              <w:t xml:space="preserve"> органами Казначейства</w:t>
            </w:r>
            <w:r w:rsidRPr="0061372C">
              <w:rPr>
                <w:rStyle w:val="rvts0"/>
                <w:sz w:val="28"/>
                <w:szCs w:val="28"/>
              </w:rPr>
              <w:t>.</w:t>
            </w:r>
            <w:r w:rsidR="003155F2" w:rsidRPr="0061372C">
              <w:rPr>
                <w:rStyle w:val="rvts0"/>
                <w:sz w:val="28"/>
                <w:szCs w:val="28"/>
              </w:rPr>
              <w:t xml:space="preserve"> </w:t>
            </w:r>
          </w:p>
          <w:p w:rsidR="002951D0" w:rsidRPr="0061372C" w:rsidRDefault="003155F2" w:rsidP="00F82F84">
            <w:pPr>
              <w:ind w:right="103" w:firstLine="567"/>
              <w:jc w:val="both"/>
              <w:rPr>
                <w:sz w:val="28"/>
                <w:szCs w:val="28"/>
              </w:rPr>
            </w:pPr>
            <w:r w:rsidRPr="0061372C">
              <w:rPr>
                <w:sz w:val="28"/>
                <w:szCs w:val="28"/>
              </w:rPr>
              <w:t xml:space="preserve">Враховуючи необхідність погашення заборгованості перед ТОВ «Фрезеніус Медикал Кер Україна» за </w:t>
            </w:r>
            <w:r w:rsidRPr="0061372C">
              <w:rPr>
                <w:sz w:val="28"/>
                <w:szCs w:val="28"/>
                <w:lang w:eastAsia="ru-RU"/>
              </w:rPr>
              <w:t>послуги з лікування хворих методом гемодіалізу</w:t>
            </w:r>
            <w:r w:rsidRPr="0061372C">
              <w:rPr>
                <w:sz w:val="28"/>
                <w:szCs w:val="28"/>
              </w:rPr>
              <w:t xml:space="preserve"> у сумі 8 533 465,56 грн. та відшкодування </w:t>
            </w:r>
            <w:r w:rsidRPr="0061372C">
              <w:rPr>
                <w:sz w:val="28"/>
                <w:szCs w:val="28"/>
                <w:lang w:eastAsia="ru-RU"/>
              </w:rPr>
              <w:t xml:space="preserve">витрат, понесених </w:t>
            </w:r>
            <w:r w:rsidRPr="0061372C">
              <w:rPr>
                <w:sz w:val="28"/>
                <w:szCs w:val="28"/>
              </w:rPr>
              <w:t xml:space="preserve">ТОВ «Фрезеніус Медикал Кер Україна» </w:t>
            </w:r>
            <w:r w:rsidRPr="0061372C">
              <w:rPr>
                <w:sz w:val="28"/>
                <w:szCs w:val="28"/>
                <w:lang w:eastAsia="ru-RU"/>
              </w:rPr>
              <w:t>на правничу допомогу,</w:t>
            </w:r>
            <w:r w:rsidRPr="0061372C">
              <w:rPr>
                <w:sz w:val="28"/>
                <w:szCs w:val="28"/>
              </w:rPr>
              <w:t xml:space="preserve"> у сумі </w:t>
            </w:r>
            <w:r w:rsidR="00CB740D" w:rsidRPr="0061372C">
              <w:rPr>
                <w:sz w:val="28"/>
                <w:szCs w:val="28"/>
              </w:rPr>
              <w:t>417 692,69</w:t>
            </w:r>
            <w:r w:rsidRPr="0061372C">
              <w:rPr>
                <w:sz w:val="28"/>
                <w:szCs w:val="28"/>
              </w:rPr>
              <w:t xml:space="preserve"> грн. (</w:t>
            </w:r>
            <w:r w:rsidRPr="0061372C">
              <w:rPr>
                <w:b/>
                <w:sz w:val="28"/>
                <w:szCs w:val="28"/>
              </w:rPr>
              <w:t>загальна сума до сплати –</w:t>
            </w:r>
            <w:r w:rsidRPr="0061372C">
              <w:rPr>
                <w:sz w:val="28"/>
                <w:szCs w:val="28"/>
              </w:rPr>
              <w:t xml:space="preserve"> </w:t>
            </w:r>
            <w:r w:rsidR="00CB740D" w:rsidRPr="0061372C">
              <w:rPr>
                <w:b/>
                <w:sz w:val="28"/>
                <w:szCs w:val="28"/>
                <w:lang w:eastAsia="ru-RU"/>
              </w:rPr>
              <w:t>8 951 158,25</w:t>
            </w:r>
            <w:r w:rsidRPr="0061372C">
              <w:rPr>
                <w:b/>
                <w:sz w:val="28"/>
                <w:szCs w:val="28"/>
              </w:rPr>
              <w:t xml:space="preserve"> грн.</w:t>
            </w:r>
            <w:r w:rsidRPr="0061372C">
              <w:rPr>
                <w:sz w:val="28"/>
                <w:szCs w:val="28"/>
              </w:rPr>
              <w:t xml:space="preserve">), пропонуємо </w:t>
            </w:r>
            <w:r w:rsidRPr="0061372C">
              <w:rPr>
                <w:sz w:val="28"/>
                <w:szCs w:val="28"/>
                <w:lang w:eastAsia="ru-RU"/>
              </w:rPr>
              <w:t xml:space="preserve">внести зміни до міської програми </w:t>
            </w:r>
            <w:r w:rsidRPr="0061372C">
              <w:rPr>
                <w:sz w:val="28"/>
                <w:szCs w:val="28"/>
              </w:rPr>
              <w:t>для забезпечення виконання рішень суду на 2017-2020 роки.</w:t>
            </w:r>
            <w:r w:rsidR="002951D0" w:rsidRPr="0061372C">
              <w:rPr>
                <w:sz w:val="28"/>
                <w:szCs w:val="28"/>
              </w:rPr>
              <w:t xml:space="preserve"> </w:t>
            </w:r>
          </w:p>
          <w:p w:rsidR="002951D0" w:rsidRPr="0061372C" w:rsidRDefault="002951D0" w:rsidP="00F82F84">
            <w:pPr>
              <w:ind w:right="103" w:firstLine="567"/>
              <w:jc w:val="both"/>
              <w:rPr>
                <w:sz w:val="28"/>
                <w:szCs w:val="28"/>
              </w:rPr>
            </w:pPr>
            <w:r w:rsidRPr="0061372C">
              <w:rPr>
                <w:sz w:val="28"/>
                <w:szCs w:val="28"/>
              </w:rPr>
              <w:t>Про</w:t>
            </w:r>
            <w:r w:rsidR="00043F21" w:rsidRPr="0061372C">
              <w:rPr>
                <w:sz w:val="28"/>
                <w:szCs w:val="28"/>
              </w:rPr>
              <w:t>є</w:t>
            </w:r>
            <w:r w:rsidRPr="0061372C">
              <w:rPr>
                <w:sz w:val="28"/>
                <w:szCs w:val="28"/>
              </w:rPr>
              <w:t>кт рішення підготовлений департаментом охорони здоров’я та медичних послуг Черкаської міської ради. Реалізація рішення потребує виділення додаткових коштів у 20</w:t>
            </w:r>
            <w:r w:rsidR="00AE2E3B" w:rsidRPr="0061372C">
              <w:rPr>
                <w:sz w:val="28"/>
                <w:szCs w:val="28"/>
              </w:rPr>
              <w:t>20</w:t>
            </w:r>
            <w:r w:rsidRPr="0061372C">
              <w:rPr>
                <w:sz w:val="28"/>
                <w:szCs w:val="28"/>
              </w:rPr>
              <w:t xml:space="preserve"> році у сумі </w:t>
            </w:r>
            <w:r w:rsidR="00CB740D" w:rsidRPr="0061372C">
              <w:rPr>
                <w:b/>
                <w:sz w:val="28"/>
                <w:szCs w:val="28"/>
                <w:lang w:eastAsia="ru-RU"/>
              </w:rPr>
              <w:t>8 951 158,25</w:t>
            </w:r>
            <w:r w:rsidR="003155F2" w:rsidRPr="0061372C">
              <w:rPr>
                <w:b/>
                <w:sz w:val="28"/>
                <w:szCs w:val="28"/>
              </w:rPr>
              <w:t xml:space="preserve"> грн.</w:t>
            </w:r>
            <w:r w:rsidRPr="0061372C">
              <w:rPr>
                <w:sz w:val="28"/>
                <w:szCs w:val="28"/>
              </w:rPr>
              <w:t>, у тому числі пропонуємо:</w:t>
            </w:r>
          </w:p>
          <w:p w:rsidR="002951D0" w:rsidRPr="0061372C" w:rsidRDefault="00987BE9" w:rsidP="00F82F84">
            <w:pPr>
              <w:numPr>
                <w:ilvl w:val="0"/>
                <w:numId w:val="3"/>
              </w:numPr>
              <w:tabs>
                <w:tab w:val="left" w:pos="993"/>
              </w:tabs>
              <w:ind w:left="0" w:right="103" w:firstLine="567"/>
              <w:jc w:val="both"/>
              <w:rPr>
                <w:sz w:val="28"/>
                <w:szCs w:val="28"/>
              </w:rPr>
            </w:pPr>
            <w:r w:rsidRPr="0061372C">
              <w:rPr>
                <w:sz w:val="28"/>
                <w:szCs w:val="28"/>
              </w:rPr>
              <w:t>зменшити обсяг асигнувань по КПКВК 071</w:t>
            </w:r>
            <w:r w:rsidR="008373B1" w:rsidRPr="0061372C">
              <w:rPr>
                <w:sz w:val="28"/>
                <w:szCs w:val="28"/>
              </w:rPr>
              <w:t>2010</w:t>
            </w:r>
            <w:r w:rsidRPr="0061372C">
              <w:rPr>
                <w:sz w:val="28"/>
                <w:szCs w:val="28"/>
              </w:rPr>
              <w:t xml:space="preserve"> «</w:t>
            </w:r>
            <w:r w:rsidR="008373B1" w:rsidRPr="0061372C">
              <w:rPr>
                <w:sz w:val="28"/>
                <w:szCs w:val="28"/>
                <w:lang w:eastAsia="ru-RU"/>
              </w:rPr>
              <w:t>Багатопрофільна стаціонарна медична допомога населенню</w:t>
            </w:r>
            <w:r w:rsidRPr="0061372C">
              <w:rPr>
                <w:sz w:val="28"/>
                <w:szCs w:val="28"/>
              </w:rPr>
              <w:t xml:space="preserve">» КЕКВ </w:t>
            </w:r>
            <w:r w:rsidR="008373B1" w:rsidRPr="0061372C">
              <w:rPr>
                <w:sz w:val="28"/>
                <w:szCs w:val="28"/>
              </w:rPr>
              <w:t>2610</w:t>
            </w:r>
            <w:r w:rsidRPr="0061372C">
              <w:rPr>
                <w:sz w:val="28"/>
                <w:szCs w:val="28"/>
              </w:rPr>
              <w:t xml:space="preserve"> «</w:t>
            </w:r>
            <w:r w:rsidR="008373B1" w:rsidRPr="0061372C">
              <w:rPr>
                <w:sz w:val="28"/>
                <w:szCs w:val="28"/>
                <w:lang w:eastAsia="ru-RU"/>
              </w:rPr>
              <w:t>Субсидії та поточні трансферти підприємствам (установам, організаціям)</w:t>
            </w:r>
            <w:r w:rsidRPr="0061372C">
              <w:rPr>
                <w:sz w:val="28"/>
                <w:szCs w:val="28"/>
              </w:rPr>
              <w:t xml:space="preserve">» </w:t>
            </w:r>
            <w:r w:rsidRPr="0061372C">
              <w:rPr>
                <w:i/>
                <w:sz w:val="28"/>
                <w:szCs w:val="28"/>
                <w:lang w:eastAsia="ru-RU"/>
              </w:rPr>
              <w:t>(</w:t>
            </w:r>
            <w:r w:rsidR="008373B1" w:rsidRPr="0061372C">
              <w:rPr>
                <w:i/>
                <w:iCs/>
                <w:sz w:val="28"/>
                <w:szCs w:val="28"/>
                <w:lang w:eastAsia="ru-RU"/>
              </w:rPr>
              <w:t>міська програма "Багатопрофільна стаціонарна медична допомога населенню міста Черкаси на 2019-2020 роки")</w:t>
            </w:r>
            <w:r w:rsidRPr="0061372C">
              <w:rPr>
                <w:i/>
                <w:sz w:val="28"/>
                <w:szCs w:val="28"/>
                <w:lang w:eastAsia="ru-RU"/>
              </w:rPr>
              <w:t xml:space="preserve"> </w:t>
            </w:r>
            <w:r w:rsidRPr="0061372C">
              <w:rPr>
                <w:sz w:val="28"/>
                <w:szCs w:val="28"/>
              </w:rPr>
              <w:t xml:space="preserve">на суму </w:t>
            </w:r>
            <w:r w:rsidR="00CB740D" w:rsidRPr="0061372C">
              <w:rPr>
                <w:sz w:val="28"/>
                <w:szCs w:val="28"/>
                <w:lang w:eastAsia="ru-RU"/>
              </w:rPr>
              <w:t>8 951 158,25</w:t>
            </w:r>
            <w:r w:rsidRPr="0061372C">
              <w:rPr>
                <w:sz w:val="28"/>
                <w:szCs w:val="28"/>
              </w:rPr>
              <w:t xml:space="preserve"> грн.</w:t>
            </w:r>
            <w:r w:rsidR="002951D0" w:rsidRPr="0061372C">
              <w:rPr>
                <w:sz w:val="28"/>
                <w:szCs w:val="28"/>
              </w:rPr>
              <w:t>;</w:t>
            </w:r>
          </w:p>
          <w:p w:rsidR="00833CA9" w:rsidRPr="0061372C" w:rsidRDefault="00EF34DA" w:rsidP="00F82F84">
            <w:pPr>
              <w:numPr>
                <w:ilvl w:val="0"/>
                <w:numId w:val="3"/>
              </w:numPr>
              <w:tabs>
                <w:tab w:val="left" w:pos="993"/>
              </w:tabs>
              <w:ind w:left="0" w:right="103" w:firstLine="567"/>
              <w:jc w:val="both"/>
              <w:rPr>
                <w:sz w:val="28"/>
                <w:szCs w:val="28"/>
              </w:rPr>
            </w:pPr>
            <w:r w:rsidRPr="0061372C">
              <w:rPr>
                <w:sz w:val="28"/>
                <w:szCs w:val="28"/>
              </w:rPr>
              <w:t>збільшити обсяг асигнувань по КПКВК 0712152 «Інші програми та заходи у сфері охорони здоров’я» КЕКВ 2240 «</w:t>
            </w:r>
            <w:r w:rsidR="00833CA9" w:rsidRPr="0061372C">
              <w:rPr>
                <w:sz w:val="28"/>
                <w:szCs w:val="28"/>
              </w:rPr>
              <w:t>Оплата послуг (крім комунальних)</w:t>
            </w:r>
            <w:r w:rsidRPr="0061372C">
              <w:rPr>
                <w:sz w:val="28"/>
                <w:szCs w:val="28"/>
              </w:rPr>
              <w:t xml:space="preserve">» </w:t>
            </w:r>
            <w:r w:rsidRPr="0061372C">
              <w:rPr>
                <w:i/>
                <w:sz w:val="28"/>
                <w:szCs w:val="28"/>
                <w:lang w:eastAsia="ru-RU"/>
              </w:rPr>
              <w:t xml:space="preserve">(міська програма </w:t>
            </w:r>
            <w:r w:rsidR="00833CA9" w:rsidRPr="0061372C">
              <w:rPr>
                <w:i/>
                <w:sz w:val="28"/>
                <w:szCs w:val="28"/>
              </w:rPr>
              <w:t>для забезпечення виконання рішень суду на 2017-2020 роки</w:t>
            </w:r>
            <w:r w:rsidRPr="0061372C">
              <w:rPr>
                <w:i/>
                <w:sz w:val="28"/>
                <w:szCs w:val="28"/>
                <w:lang w:eastAsia="ru-RU"/>
              </w:rPr>
              <w:t xml:space="preserve">) </w:t>
            </w:r>
            <w:r w:rsidRPr="0061372C">
              <w:rPr>
                <w:sz w:val="28"/>
                <w:szCs w:val="28"/>
              </w:rPr>
              <w:t xml:space="preserve">на суму </w:t>
            </w:r>
            <w:r w:rsidR="001358AD" w:rsidRPr="0061372C">
              <w:rPr>
                <w:sz w:val="28"/>
                <w:szCs w:val="28"/>
              </w:rPr>
              <w:t xml:space="preserve">   </w:t>
            </w:r>
            <w:r w:rsidR="00833CA9" w:rsidRPr="0061372C">
              <w:rPr>
                <w:sz w:val="28"/>
                <w:szCs w:val="28"/>
              </w:rPr>
              <w:t>8 533 465,56</w:t>
            </w:r>
            <w:r w:rsidRPr="0061372C">
              <w:rPr>
                <w:sz w:val="28"/>
                <w:szCs w:val="28"/>
              </w:rPr>
              <w:t xml:space="preserve"> грн.</w:t>
            </w:r>
            <w:r w:rsidR="002951D0" w:rsidRPr="0061372C">
              <w:rPr>
                <w:sz w:val="28"/>
                <w:szCs w:val="28"/>
              </w:rPr>
              <w:t>;</w:t>
            </w:r>
          </w:p>
          <w:p w:rsidR="002951D0" w:rsidRPr="0061372C" w:rsidRDefault="00833CA9" w:rsidP="00F82F84">
            <w:pPr>
              <w:numPr>
                <w:ilvl w:val="0"/>
                <w:numId w:val="3"/>
              </w:numPr>
              <w:tabs>
                <w:tab w:val="left" w:pos="993"/>
              </w:tabs>
              <w:ind w:left="0" w:right="103" w:firstLine="567"/>
              <w:jc w:val="both"/>
              <w:rPr>
                <w:sz w:val="28"/>
                <w:szCs w:val="28"/>
              </w:rPr>
            </w:pPr>
            <w:r w:rsidRPr="0061372C">
              <w:rPr>
                <w:sz w:val="28"/>
                <w:szCs w:val="28"/>
              </w:rPr>
              <w:t xml:space="preserve">збільшити обсяг асигнувань по КПКВК 0712152 «Інші програми та заходи у сфері охорони здоров’я» КЕКВ 2800 «Інші поточні видатки» </w:t>
            </w:r>
            <w:r w:rsidRPr="0061372C">
              <w:rPr>
                <w:i/>
                <w:sz w:val="28"/>
                <w:szCs w:val="28"/>
                <w:lang w:eastAsia="ru-RU"/>
              </w:rPr>
              <w:t xml:space="preserve">(міська програма </w:t>
            </w:r>
            <w:r w:rsidRPr="0061372C">
              <w:rPr>
                <w:i/>
                <w:sz w:val="28"/>
                <w:szCs w:val="28"/>
              </w:rPr>
              <w:t>для забезпечення виконання рішень суду на 2017-2020 роки</w:t>
            </w:r>
            <w:r w:rsidRPr="0061372C">
              <w:rPr>
                <w:i/>
                <w:sz w:val="28"/>
                <w:szCs w:val="28"/>
                <w:lang w:eastAsia="ru-RU"/>
              </w:rPr>
              <w:t xml:space="preserve">) </w:t>
            </w:r>
            <w:r w:rsidRPr="0061372C">
              <w:rPr>
                <w:sz w:val="28"/>
                <w:szCs w:val="28"/>
              </w:rPr>
              <w:t xml:space="preserve">на суму </w:t>
            </w:r>
            <w:r w:rsidR="000E26B9" w:rsidRPr="0061372C">
              <w:rPr>
                <w:sz w:val="28"/>
              </w:rPr>
              <w:t>417 692,69</w:t>
            </w:r>
            <w:r w:rsidRPr="0061372C">
              <w:rPr>
                <w:sz w:val="28"/>
                <w:szCs w:val="28"/>
              </w:rPr>
              <w:t xml:space="preserve"> грн.</w:t>
            </w:r>
          </w:p>
          <w:p w:rsidR="002951D0" w:rsidRPr="0061372C" w:rsidRDefault="002951D0" w:rsidP="00A3375F">
            <w:pPr>
              <w:ind w:left="108" w:right="103" w:firstLine="600"/>
              <w:jc w:val="both"/>
            </w:pPr>
          </w:p>
        </w:tc>
      </w:tr>
      <w:tr w:rsidR="002951D0" w:rsidRPr="0061372C" w:rsidTr="004253D7">
        <w:trPr>
          <w:jc w:val="center"/>
        </w:trPr>
        <w:tc>
          <w:tcPr>
            <w:tcW w:w="3211" w:type="dxa"/>
            <w:shd w:val="clear" w:color="auto" w:fill="auto"/>
            <w:noWrap/>
            <w:vAlign w:val="center"/>
          </w:tcPr>
          <w:p w:rsidR="002951D0" w:rsidRPr="0061372C" w:rsidRDefault="002951D0" w:rsidP="00A3375F">
            <w:pPr>
              <w:ind w:right="-5"/>
            </w:pPr>
            <w:r w:rsidRPr="0061372C">
              <w:rPr>
                <w:sz w:val="28"/>
                <w:szCs w:val="28"/>
              </w:rPr>
              <w:lastRenderedPageBreak/>
              <w:t xml:space="preserve">Директор департаменту </w:t>
            </w:r>
          </w:p>
        </w:tc>
        <w:tc>
          <w:tcPr>
            <w:tcW w:w="841" w:type="dxa"/>
            <w:shd w:val="clear" w:color="auto" w:fill="auto"/>
            <w:noWrap/>
            <w:vAlign w:val="center"/>
          </w:tcPr>
          <w:p w:rsidR="002951D0" w:rsidRPr="0061372C" w:rsidRDefault="002951D0" w:rsidP="00A3375F">
            <w:pPr>
              <w:ind w:right="-5"/>
            </w:pPr>
          </w:p>
        </w:tc>
        <w:tc>
          <w:tcPr>
            <w:tcW w:w="1742" w:type="dxa"/>
            <w:shd w:val="clear" w:color="auto" w:fill="auto"/>
            <w:noWrap/>
            <w:vAlign w:val="center"/>
          </w:tcPr>
          <w:p w:rsidR="002951D0" w:rsidRPr="0061372C" w:rsidRDefault="002951D0" w:rsidP="00A3375F">
            <w:pPr>
              <w:ind w:right="-5"/>
            </w:pPr>
          </w:p>
        </w:tc>
        <w:tc>
          <w:tcPr>
            <w:tcW w:w="805" w:type="dxa"/>
            <w:shd w:val="clear" w:color="auto" w:fill="auto"/>
            <w:noWrap/>
            <w:vAlign w:val="center"/>
          </w:tcPr>
          <w:p w:rsidR="002951D0" w:rsidRPr="0061372C" w:rsidRDefault="002951D0" w:rsidP="00A3375F">
            <w:pPr>
              <w:ind w:right="-5"/>
            </w:pPr>
          </w:p>
        </w:tc>
        <w:tc>
          <w:tcPr>
            <w:tcW w:w="1064" w:type="dxa"/>
            <w:shd w:val="clear" w:color="auto" w:fill="auto"/>
            <w:noWrap/>
            <w:vAlign w:val="center"/>
          </w:tcPr>
          <w:p w:rsidR="002951D0" w:rsidRPr="0061372C" w:rsidRDefault="002951D0" w:rsidP="00A3375F">
            <w:pPr>
              <w:ind w:right="-5"/>
            </w:pPr>
          </w:p>
        </w:tc>
        <w:tc>
          <w:tcPr>
            <w:tcW w:w="2542" w:type="dxa"/>
            <w:shd w:val="clear" w:color="auto" w:fill="auto"/>
            <w:noWrap/>
            <w:vAlign w:val="center"/>
          </w:tcPr>
          <w:p w:rsidR="002951D0" w:rsidRPr="0061372C" w:rsidRDefault="0034127B" w:rsidP="004253D7">
            <w:pPr>
              <w:ind w:right="-5"/>
            </w:pPr>
            <w:r w:rsidRPr="0061372C">
              <w:rPr>
                <w:sz w:val="28"/>
                <w:szCs w:val="28"/>
              </w:rPr>
              <w:t>В.Е.Кульчиковський</w:t>
            </w:r>
          </w:p>
        </w:tc>
      </w:tr>
      <w:tr w:rsidR="00A87376" w:rsidRPr="0061372C" w:rsidTr="004253D7">
        <w:trPr>
          <w:jc w:val="center"/>
        </w:trPr>
        <w:tc>
          <w:tcPr>
            <w:tcW w:w="3211" w:type="dxa"/>
            <w:shd w:val="clear" w:color="auto" w:fill="auto"/>
            <w:noWrap/>
            <w:vAlign w:val="center"/>
          </w:tcPr>
          <w:p w:rsidR="00A87376" w:rsidRPr="0061372C" w:rsidRDefault="00A87376" w:rsidP="00A3375F">
            <w:pPr>
              <w:ind w:right="-5"/>
              <w:rPr>
                <w:sz w:val="28"/>
                <w:szCs w:val="28"/>
              </w:rPr>
            </w:pPr>
          </w:p>
        </w:tc>
        <w:tc>
          <w:tcPr>
            <w:tcW w:w="841" w:type="dxa"/>
            <w:shd w:val="clear" w:color="auto" w:fill="auto"/>
            <w:noWrap/>
            <w:vAlign w:val="center"/>
          </w:tcPr>
          <w:p w:rsidR="00A87376" w:rsidRPr="0061372C" w:rsidRDefault="00A87376" w:rsidP="00A3375F">
            <w:pPr>
              <w:ind w:right="-5"/>
            </w:pPr>
          </w:p>
        </w:tc>
        <w:tc>
          <w:tcPr>
            <w:tcW w:w="1742" w:type="dxa"/>
            <w:shd w:val="clear" w:color="auto" w:fill="auto"/>
            <w:noWrap/>
            <w:vAlign w:val="center"/>
          </w:tcPr>
          <w:p w:rsidR="00A87376" w:rsidRPr="0061372C" w:rsidRDefault="00A87376" w:rsidP="00A3375F">
            <w:pPr>
              <w:ind w:right="-5"/>
            </w:pPr>
          </w:p>
        </w:tc>
        <w:tc>
          <w:tcPr>
            <w:tcW w:w="805" w:type="dxa"/>
            <w:shd w:val="clear" w:color="auto" w:fill="auto"/>
            <w:noWrap/>
            <w:vAlign w:val="center"/>
          </w:tcPr>
          <w:p w:rsidR="00A87376" w:rsidRPr="0061372C" w:rsidRDefault="00A87376" w:rsidP="00A3375F">
            <w:pPr>
              <w:ind w:right="-5"/>
            </w:pPr>
          </w:p>
        </w:tc>
        <w:tc>
          <w:tcPr>
            <w:tcW w:w="1064" w:type="dxa"/>
            <w:shd w:val="clear" w:color="auto" w:fill="auto"/>
            <w:noWrap/>
            <w:vAlign w:val="center"/>
          </w:tcPr>
          <w:p w:rsidR="00A87376" w:rsidRPr="0061372C" w:rsidRDefault="00A87376" w:rsidP="00A3375F">
            <w:pPr>
              <w:ind w:right="-5"/>
            </w:pPr>
          </w:p>
        </w:tc>
        <w:tc>
          <w:tcPr>
            <w:tcW w:w="2542" w:type="dxa"/>
            <w:shd w:val="clear" w:color="auto" w:fill="auto"/>
            <w:noWrap/>
            <w:vAlign w:val="center"/>
          </w:tcPr>
          <w:p w:rsidR="00A87376" w:rsidRPr="0061372C" w:rsidRDefault="00A87376" w:rsidP="004253D7">
            <w:pPr>
              <w:ind w:right="-5"/>
              <w:rPr>
                <w:sz w:val="28"/>
                <w:szCs w:val="28"/>
              </w:rPr>
            </w:pPr>
          </w:p>
        </w:tc>
      </w:tr>
      <w:tr w:rsidR="00A87376" w:rsidRPr="0061372C" w:rsidTr="004253D7">
        <w:trPr>
          <w:jc w:val="center"/>
        </w:trPr>
        <w:tc>
          <w:tcPr>
            <w:tcW w:w="3211" w:type="dxa"/>
            <w:shd w:val="clear" w:color="auto" w:fill="auto"/>
            <w:noWrap/>
            <w:vAlign w:val="center"/>
          </w:tcPr>
          <w:p w:rsidR="00A87376" w:rsidRPr="0061372C" w:rsidRDefault="00A87376" w:rsidP="00A87376">
            <w:pPr>
              <w:jc w:val="both"/>
              <w:rPr>
                <w:sz w:val="20"/>
                <w:szCs w:val="20"/>
              </w:rPr>
            </w:pPr>
            <w:r w:rsidRPr="0061372C">
              <w:rPr>
                <w:sz w:val="20"/>
                <w:szCs w:val="20"/>
              </w:rPr>
              <w:t>вик. Галушка Г.Ю.</w:t>
            </w:r>
          </w:p>
          <w:p w:rsidR="00A87376" w:rsidRPr="0061372C" w:rsidRDefault="00A87376" w:rsidP="00A87376">
            <w:pPr>
              <w:ind w:right="-5"/>
              <w:rPr>
                <w:sz w:val="28"/>
                <w:szCs w:val="28"/>
              </w:rPr>
            </w:pPr>
            <w:r w:rsidRPr="0061372C">
              <w:rPr>
                <w:sz w:val="20"/>
                <w:szCs w:val="20"/>
              </w:rPr>
              <w:t>37-53-93</w:t>
            </w:r>
          </w:p>
        </w:tc>
        <w:tc>
          <w:tcPr>
            <w:tcW w:w="841" w:type="dxa"/>
            <w:shd w:val="clear" w:color="auto" w:fill="auto"/>
            <w:noWrap/>
            <w:vAlign w:val="center"/>
          </w:tcPr>
          <w:p w:rsidR="00A87376" w:rsidRPr="0061372C" w:rsidRDefault="00A87376" w:rsidP="00A3375F">
            <w:pPr>
              <w:ind w:right="-5"/>
            </w:pPr>
          </w:p>
        </w:tc>
        <w:tc>
          <w:tcPr>
            <w:tcW w:w="1742" w:type="dxa"/>
            <w:shd w:val="clear" w:color="auto" w:fill="auto"/>
            <w:noWrap/>
            <w:vAlign w:val="center"/>
          </w:tcPr>
          <w:p w:rsidR="00A87376" w:rsidRPr="0061372C" w:rsidRDefault="00A87376" w:rsidP="00A3375F">
            <w:pPr>
              <w:ind w:right="-5"/>
            </w:pPr>
          </w:p>
        </w:tc>
        <w:tc>
          <w:tcPr>
            <w:tcW w:w="805" w:type="dxa"/>
            <w:shd w:val="clear" w:color="auto" w:fill="auto"/>
            <w:noWrap/>
            <w:vAlign w:val="center"/>
          </w:tcPr>
          <w:p w:rsidR="00A87376" w:rsidRPr="0061372C" w:rsidRDefault="00A87376" w:rsidP="00A3375F">
            <w:pPr>
              <w:ind w:right="-5"/>
            </w:pPr>
          </w:p>
        </w:tc>
        <w:tc>
          <w:tcPr>
            <w:tcW w:w="1064" w:type="dxa"/>
            <w:shd w:val="clear" w:color="auto" w:fill="auto"/>
            <w:noWrap/>
            <w:vAlign w:val="center"/>
          </w:tcPr>
          <w:p w:rsidR="00A87376" w:rsidRPr="0061372C" w:rsidRDefault="00A87376" w:rsidP="00A3375F">
            <w:pPr>
              <w:ind w:right="-5"/>
            </w:pPr>
          </w:p>
        </w:tc>
        <w:tc>
          <w:tcPr>
            <w:tcW w:w="2542" w:type="dxa"/>
            <w:shd w:val="clear" w:color="auto" w:fill="auto"/>
            <w:noWrap/>
            <w:vAlign w:val="center"/>
          </w:tcPr>
          <w:p w:rsidR="00A87376" w:rsidRPr="0061372C" w:rsidRDefault="00A87376" w:rsidP="004253D7">
            <w:pPr>
              <w:ind w:right="-5"/>
              <w:rPr>
                <w:sz w:val="28"/>
                <w:szCs w:val="28"/>
              </w:rPr>
            </w:pPr>
          </w:p>
        </w:tc>
      </w:tr>
    </w:tbl>
    <w:p w:rsidR="00A87376" w:rsidRPr="0061372C" w:rsidRDefault="00A87376" w:rsidP="008F0DAE">
      <w:pPr>
        <w:jc w:val="both"/>
        <w:rPr>
          <w:sz w:val="28"/>
          <w:szCs w:val="28"/>
        </w:rPr>
        <w:sectPr w:rsidR="00A87376" w:rsidRPr="0061372C" w:rsidSect="002951D0">
          <w:pgSz w:w="11906" w:h="16838"/>
          <w:pgMar w:top="1134" w:right="567" w:bottom="1134" w:left="1134" w:header="709" w:footer="709" w:gutter="0"/>
          <w:cols w:space="708"/>
          <w:docGrid w:linePitch="360"/>
        </w:sectPr>
      </w:pPr>
    </w:p>
    <w:tbl>
      <w:tblPr>
        <w:tblW w:w="5000" w:type="pct"/>
        <w:jc w:val="center"/>
        <w:tblCellMar>
          <w:left w:w="0" w:type="dxa"/>
          <w:right w:w="0" w:type="dxa"/>
        </w:tblCellMar>
        <w:tblLook w:val="04A0" w:firstRow="1" w:lastRow="0" w:firstColumn="1" w:lastColumn="0" w:noHBand="0" w:noVBand="1"/>
      </w:tblPr>
      <w:tblGrid>
        <w:gridCol w:w="14570"/>
      </w:tblGrid>
      <w:tr w:rsidR="00A87376" w:rsidRPr="0061372C" w:rsidTr="00EA349C">
        <w:trPr>
          <w:jc w:val="center"/>
        </w:trPr>
        <w:tc>
          <w:tcPr>
            <w:tcW w:w="5000" w:type="pct"/>
            <w:shd w:val="clear" w:color="auto" w:fill="auto"/>
            <w:noWrap/>
            <w:vAlign w:val="center"/>
          </w:tcPr>
          <w:p w:rsidR="00A87376" w:rsidRPr="0061372C" w:rsidRDefault="00A87376" w:rsidP="00EA349C">
            <w:pPr>
              <w:ind w:firstLine="11482"/>
            </w:pPr>
            <w:r w:rsidRPr="0061372C">
              <w:lastRenderedPageBreak/>
              <w:t>Додаток 1</w:t>
            </w:r>
          </w:p>
          <w:p w:rsidR="00A87376" w:rsidRPr="0061372C" w:rsidRDefault="00A87376" w:rsidP="00EA349C">
            <w:pPr>
              <w:ind w:firstLine="11482"/>
            </w:pPr>
            <w:r w:rsidRPr="0061372C">
              <w:t>до пояснювальної записки</w:t>
            </w:r>
          </w:p>
          <w:p w:rsidR="00A87376" w:rsidRPr="0061372C" w:rsidRDefault="00A87376" w:rsidP="00EA349C">
            <w:pPr>
              <w:jc w:val="center"/>
            </w:pPr>
          </w:p>
          <w:p w:rsidR="00A87376" w:rsidRPr="0061372C" w:rsidRDefault="00A87376" w:rsidP="00EA349C">
            <w:pPr>
              <w:pStyle w:val="a6"/>
              <w:tabs>
                <w:tab w:val="left" w:pos="540"/>
              </w:tabs>
              <w:jc w:val="center"/>
              <w:rPr>
                <w:rFonts w:ascii="Times New Roman" w:hAnsi="Times New Roman"/>
                <w:sz w:val="28"/>
                <w:szCs w:val="24"/>
              </w:rPr>
            </w:pPr>
            <w:r w:rsidRPr="0061372C">
              <w:rPr>
                <w:rFonts w:ascii="Times New Roman" w:hAnsi="Times New Roman"/>
                <w:bCs/>
                <w:sz w:val="28"/>
                <w:szCs w:val="24"/>
              </w:rPr>
              <w:t xml:space="preserve">Звіт </w:t>
            </w:r>
            <w:r w:rsidRPr="0061372C">
              <w:rPr>
                <w:rFonts w:ascii="Times New Roman" w:hAnsi="Times New Roman"/>
                <w:sz w:val="28"/>
                <w:szCs w:val="24"/>
              </w:rPr>
              <w:t>про виконання програми</w:t>
            </w:r>
          </w:p>
          <w:p w:rsidR="00A87376" w:rsidRPr="0061372C" w:rsidRDefault="00A87376" w:rsidP="00EA349C">
            <w:pPr>
              <w:jc w:val="center"/>
            </w:pPr>
            <w:r w:rsidRPr="0061372C">
              <w:rPr>
                <w:sz w:val="28"/>
                <w:szCs w:val="28"/>
              </w:rPr>
              <w:t xml:space="preserve">для забезпечення виконання рішень суду </w:t>
            </w:r>
            <w:r w:rsidRPr="0061372C">
              <w:rPr>
                <w:bCs/>
                <w:sz w:val="28"/>
              </w:rPr>
              <w:t>за 201</w:t>
            </w:r>
            <w:r w:rsidR="00FC27A7" w:rsidRPr="0061372C">
              <w:rPr>
                <w:bCs/>
                <w:sz w:val="28"/>
              </w:rPr>
              <w:t>8</w:t>
            </w:r>
            <w:r w:rsidRPr="0061372C">
              <w:rPr>
                <w:bCs/>
                <w:sz w:val="28"/>
              </w:rPr>
              <w:t xml:space="preserve"> рік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6403"/>
              <w:gridCol w:w="999"/>
              <w:gridCol w:w="1535"/>
              <w:gridCol w:w="2102"/>
              <w:gridCol w:w="1680"/>
              <w:gridCol w:w="1357"/>
            </w:tblGrid>
            <w:tr w:rsidR="00A87376" w:rsidRPr="0061372C" w:rsidTr="00FC27A7">
              <w:trPr>
                <w:trHeight w:val="300"/>
              </w:trPr>
              <w:tc>
                <w:tcPr>
                  <w:tcW w:w="166" w:type="pct"/>
                  <w:shd w:val="clear" w:color="auto" w:fill="auto"/>
                  <w:vAlign w:val="center"/>
                  <w:hideMark/>
                </w:tcPr>
                <w:p w:rsidR="00A87376" w:rsidRPr="0061372C" w:rsidRDefault="00A87376" w:rsidP="00EA349C">
                  <w:pPr>
                    <w:jc w:val="center"/>
                  </w:pPr>
                  <w:r w:rsidRPr="0061372C">
                    <w:rPr>
                      <w:sz w:val="22"/>
                    </w:rPr>
                    <w:t>№ з/п</w:t>
                  </w:r>
                </w:p>
              </w:tc>
              <w:tc>
                <w:tcPr>
                  <w:tcW w:w="2199" w:type="pct"/>
                  <w:shd w:val="clear" w:color="auto" w:fill="auto"/>
                  <w:vAlign w:val="center"/>
                  <w:hideMark/>
                </w:tcPr>
                <w:p w:rsidR="00A87376" w:rsidRPr="0061372C" w:rsidRDefault="00A87376" w:rsidP="00EA349C">
                  <w:pPr>
                    <w:jc w:val="center"/>
                    <w:rPr>
                      <w:bCs/>
                    </w:rPr>
                  </w:pPr>
                  <w:r w:rsidRPr="0061372C">
                    <w:rPr>
                      <w:bCs/>
                      <w:sz w:val="22"/>
                    </w:rPr>
                    <w:t>Показники </w:t>
                  </w:r>
                </w:p>
              </w:tc>
              <w:tc>
                <w:tcPr>
                  <w:tcW w:w="343" w:type="pct"/>
                  <w:shd w:val="clear" w:color="auto" w:fill="auto"/>
                  <w:vAlign w:val="center"/>
                  <w:hideMark/>
                </w:tcPr>
                <w:p w:rsidR="00A87376" w:rsidRPr="0061372C" w:rsidRDefault="00A87376" w:rsidP="00EA349C">
                  <w:pPr>
                    <w:jc w:val="center"/>
                  </w:pPr>
                  <w:r w:rsidRPr="0061372C">
                    <w:rPr>
                      <w:sz w:val="22"/>
                    </w:rPr>
                    <w:t>Один. виміру</w:t>
                  </w:r>
                </w:p>
              </w:tc>
              <w:tc>
                <w:tcPr>
                  <w:tcW w:w="527" w:type="pct"/>
                  <w:shd w:val="clear" w:color="auto" w:fill="auto"/>
                  <w:vAlign w:val="center"/>
                  <w:hideMark/>
                </w:tcPr>
                <w:p w:rsidR="00A87376" w:rsidRPr="0061372C" w:rsidRDefault="00A87376" w:rsidP="00EA349C">
                  <w:pPr>
                    <w:jc w:val="center"/>
                  </w:pPr>
                  <w:r w:rsidRPr="0061372C">
                    <w:rPr>
                      <w:sz w:val="22"/>
                    </w:rPr>
                    <w:t>Джерело інформації</w:t>
                  </w:r>
                </w:p>
              </w:tc>
              <w:tc>
                <w:tcPr>
                  <w:tcW w:w="722" w:type="pct"/>
                  <w:shd w:val="clear" w:color="auto" w:fill="auto"/>
                  <w:vAlign w:val="center"/>
                  <w:hideMark/>
                </w:tcPr>
                <w:p w:rsidR="00A87376" w:rsidRPr="0061372C" w:rsidRDefault="00A87376" w:rsidP="00EA349C">
                  <w:pPr>
                    <w:jc w:val="center"/>
                  </w:pPr>
                  <w:r w:rsidRPr="0061372C">
                    <w:rPr>
                      <w:sz w:val="22"/>
                    </w:rPr>
                    <w:t>Затверджено у паспорті бюджетної програми</w:t>
                  </w:r>
                </w:p>
              </w:tc>
              <w:tc>
                <w:tcPr>
                  <w:tcW w:w="577" w:type="pct"/>
                  <w:shd w:val="clear" w:color="auto" w:fill="auto"/>
                  <w:vAlign w:val="center"/>
                  <w:hideMark/>
                </w:tcPr>
                <w:p w:rsidR="00A87376" w:rsidRPr="0061372C" w:rsidRDefault="00A87376" w:rsidP="00EA349C">
                  <w:pPr>
                    <w:jc w:val="center"/>
                  </w:pPr>
                  <w:r w:rsidRPr="0061372C">
                    <w:rPr>
                      <w:sz w:val="22"/>
                    </w:rPr>
                    <w:t xml:space="preserve">Виконано за звітний період </w:t>
                  </w:r>
                </w:p>
              </w:tc>
              <w:tc>
                <w:tcPr>
                  <w:tcW w:w="466" w:type="pct"/>
                  <w:shd w:val="clear" w:color="auto" w:fill="auto"/>
                  <w:noWrap/>
                  <w:vAlign w:val="center"/>
                  <w:hideMark/>
                </w:tcPr>
                <w:p w:rsidR="00A87376" w:rsidRPr="0061372C" w:rsidRDefault="00A87376" w:rsidP="00EA349C">
                  <w:pPr>
                    <w:jc w:val="center"/>
                  </w:pPr>
                  <w:r w:rsidRPr="0061372C">
                    <w:rPr>
                      <w:sz w:val="22"/>
                    </w:rPr>
                    <w:t>Відхилення</w:t>
                  </w:r>
                </w:p>
              </w:tc>
            </w:tr>
            <w:tr w:rsidR="00A87376" w:rsidRPr="0061372C" w:rsidTr="00EA349C">
              <w:trPr>
                <w:trHeight w:val="300"/>
              </w:trPr>
              <w:tc>
                <w:tcPr>
                  <w:tcW w:w="166" w:type="pct"/>
                  <w:shd w:val="clear" w:color="auto" w:fill="auto"/>
                  <w:hideMark/>
                </w:tcPr>
                <w:p w:rsidR="00A87376" w:rsidRPr="0061372C" w:rsidRDefault="00A87376" w:rsidP="00EA349C">
                  <w:pPr>
                    <w:jc w:val="center"/>
                  </w:pPr>
                </w:p>
              </w:tc>
              <w:tc>
                <w:tcPr>
                  <w:tcW w:w="4834" w:type="pct"/>
                  <w:gridSpan w:val="6"/>
                  <w:shd w:val="clear" w:color="auto" w:fill="auto"/>
                  <w:hideMark/>
                </w:tcPr>
                <w:p w:rsidR="00A87376" w:rsidRPr="0061372C" w:rsidRDefault="00FC27A7" w:rsidP="00EA349C">
                  <w:pPr>
                    <w:rPr>
                      <w:b/>
                      <w:bCs/>
                      <w:i/>
                      <w:iCs/>
                    </w:rPr>
                  </w:pPr>
                  <w:r w:rsidRPr="0061372C">
                    <w:rPr>
                      <w:b/>
                      <w:bCs/>
                      <w:i/>
                      <w:iCs/>
                      <w:sz w:val="22"/>
                      <w:szCs w:val="22"/>
                    </w:rPr>
                    <w:t>Забезпечення виконання рішення суду щодо погашення заборгованості перед ТОВ «Фрезеніус Медикал Кер Україна» за послуги з лікування хворих методом гемодіалізу, наданих у період з 22.01.2015 по 24.05.2015 року, та відшкодування витрат на сплату судового збору</w:t>
                  </w:r>
                </w:p>
              </w:tc>
            </w:tr>
            <w:tr w:rsidR="00A87376" w:rsidRPr="0061372C" w:rsidTr="00FC27A7">
              <w:trPr>
                <w:trHeight w:val="300"/>
              </w:trPr>
              <w:tc>
                <w:tcPr>
                  <w:tcW w:w="166" w:type="pct"/>
                  <w:shd w:val="clear" w:color="auto" w:fill="auto"/>
                  <w:hideMark/>
                </w:tcPr>
                <w:p w:rsidR="00A87376" w:rsidRPr="0061372C" w:rsidRDefault="00A87376" w:rsidP="00EA349C">
                  <w:pPr>
                    <w:jc w:val="center"/>
                  </w:pPr>
                  <w:r w:rsidRPr="0061372C">
                    <w:rPr>
                      <w:sz w:val="22"/>
                      <w:szCs w:val="22"/>
                    </w:rPr>
                    <w:t>1</w:t>
                  </w:r>
                </w:p>
              </w:tc>
              <w:tc>
                <w:tcPr>
                  <w:tcW w:w="2199" w:type="pct"/>
                  <w:shd w:val="clear" w:color="auto" w:fill="auto"/>
                  <w:hideMark/>
                </w:tcPr>
                <w:p w:rsidR="00A87376" w:rsidRPr="0061372C" w:rsidRDefault="00A87376" w:rsidP="00EA349C">
                  <w:pPr>
                    <w:rPr>
                      <w:b/>
                      <w:bCs/>
                      <w:i/>
                      <w:iCs/>
                    </w:rPr>
                  </w:pPr>
                  <w:r w:rsidRPr="0061372C">
                    <w:rPr>
                      <w:b/>
                      <w:bCs/>
                      <w:i/>
                      <w:iCs/>
                      <w:sz w:val="22"/>
                      <w:szCs w:val="22"/>
                    </w:rPr>
                    <w:t>затрат:</w:t>
                  </w:r>
                </w:p>
              </w:tc>
              <w:tc>
                <w:tcPr>
                  <w:tcW w:w="343" w:type="pct"/>
                  <w:shd w:val="clear" w:color="auto" w:fill="auto"/>
                  <w:hideMark/>
                </w:tcPr>
                <w:p w:rsidR="00A87376" w:rsidRPr="0061372C" w:rsidRDefault="00A87376" w:rsidP="00EA349C">
                  <w:pPr>
                    <w:rPr>
                      <w:b/>
                      <w:bCs/>
                      <w:i/>
                      <w:iCs/>
                    </w:rPr>
                  </w:pPr>
                  <w:r w:rsidRPr="0061372C">
                    <w:rPr>
                      <w:b/>
                      <w:bCs/>
                      <w:i/>
                      <w:iCs/>
                      <w:sz w:val="22"/>
                      <w:szCs w:val="22"/>
                    </w:rPr>
                    <w:t> </w:t>
                  </w:r>
                </w:p>
              </w:tc>
              <w:tc>
                <w:tcPr>
                  <w:tcW w:w="527" w:type="pct"/>
                  <w:shd w:val="clear" w:color="auto" w:fill="auto"/>
                  <w:hideMark/>
                </w:tcPr>
                <w:p w:rsidR="00A87376" w:rsidRPr="0061372C" w:rsidRDefault="00A87376" w:rsidP="00EA349C">
                  <w:pPr>
                    <w:rPr>
                      <w:b/>
                      <w:bCs/>
                      <w:i/>
                      <w:iCs/>
                    </w:rPr>
                  </w:pPr>
                  <w:r w:rsidRPr="0061372C">
                    <w:rPr>
                      <w:b/>
                      <w:bCs/>
                      <w:i/>
                      <w:iCs/>
                      <w:sz w:val="22"/>
                      <w:szCs w:val="22"/>
                    </w:rPr>
                    <w:t> </w:t>
                  </w:r>
                </w:p>
              </w:tc>
              <w:tc>
                <w:tcPr>
                  <w:tcW w:w="722" w:type="pct"/>
                  <w:shd w:val="clear" w:color="auto" w:fill="auto"/>
                  <w:hideMark/>
                </w:tcPr>
                <w:p w:rsidR="00A87376" w:rsidRPr="0061372C" w:rsidRDefault="00A87376" w:rsidP="00EA349C">
                  <w:pPr>
                    <w:rPr>
                      <w:b/>
                      <w:bCs/>
                      <w:i/>
                      <w:iCs/>
                    </w:rPr>
                  </w:pPr>
                  <w:r w:rsidRPr="0061372C">
                    <w:rPr>
                      <w:b/>
                      <w:bCs/>
                      <w:i/>
                      <w:iCs/>
                      <w:sz w:val="22"/>
                      <w:szCs w:val="22"/>
                    </w:rPr>
                    <w:t> </w:t>
                  </w:r>
                </w:p>
              </w:tc>
              <w:tc>
                <w:tcPr>
                  <w:tcW w:w="577" w:type="pct"/>
                  <w:shd w:val="clear" w:color="auto" w:fill="auto"/>
                  <w:hideMark/>
                </w:tcPr>
                <w:p w:rsidR="00A87376" w:rsidRPr="0061372C" w:rsidRDefault="00A87376" w:rsidP="00EA349C">
                  <w:pPr>
                    <w:rPr>
                      <w:b/>
                      <w:bCs/>
                      <w:i/>
                      <w:iCs/>
                    </w:rPr>
                  </w:pPr>
                  <w:r w:rsidRPr="0061372C">
                    <w:rPr>
                      <w:b/>
                      <w:bCs/>
                      <w:i/>
                      <w:iCs/>
                      <w:sz w:val="22"/>
                      <w:szCs w:val="22"/>
                    </w:rPr>
                    <w:t> </w:t>
                  </w:r>
                </w:p>
              </w:tc>
              <w:tc>
                <w:tcPr>
                  <w:tcW w:w="466" w:type="pct"/>
                  <w:shd w:val="clear" w:color="auto" w:fill="auto"/>
                  <w:noWrap/>
                  <w:vAlign w:val="bottom"/>
                  <w:hideMark/>
                </w:tcPr>
                <w:p w:rsidR="00A87376" w:rsidRPr="0061372C" w:rsidRDefault="00A87376" w:rsidP="00EA349C">
                  <w:r w:rsidRPr="0061372C">
                    <w:rPr>
                      <w:sz w:val="22"/>
                      <w:szCs w:val="22"/>
                    </w:rPr>
                    <w:t> </w:t>
                  </w:r>
                </w:p>
              </w:tc>
            </w:tr>
            <w:tr w:rsidR="00FC27A7" w:rsidRPr="0061372C" w:rsidTr="00FC27A7">
              <w:trPr>
                <w:trHeight w:val="300"/>
              </w:trPr>
              <w:tc>
                <w:tcPr>
                  <w:tcW w:w="166" w:type="pct"/>
                  <w:shd w:val="clear" w:color="auto" w:fill="auto"/>
                  <w:hideMark/>
                </w:tcPr>
                <w:p w:rsidR="00FC27A7" w:rsidRPr="0061372C" w:rsidRDefault="00FC27A7" w:rsidP="00EA349C">
                  <w:pPr>
                    <w:jc w:val="center"/>
                  </w:pPr>
                </w:p>
              </w:tc>
              <w:tc>
                <w:tcPr>
                  <w:tcW w:w="2199" w:type="pct"/>
                  <w:shd w:val="clear" w:color="auto" w:fill="auto"/>
                  <w:hideMark/>
                </w:tcPr>
                <w:p w:rsidR="00FC27A7" w:rsidRPr="0061372C" w:rsidRDefault="00FC27A7">
                  <w:r w:rsidRPr="0061372C">
                    <w:rPr>
                      <w:sz w:val="22"/>
                      <w:szCs w:val="22"/>
                    </w:rPr>
                    <w:t>Обсяг фінансування за підпрограмою, у тому числі</w:t>
                  </w:r>
                </w:p>
              </w:tc>
              <w:tc>
                <w:tcPr>
                  <w:tcW w:w="343" w:type="pct"/>
                  <w:shd w:val="clear" w:color="auto" w:fill="auto"/>
                  <w:hideMark/>
                </w:tcPr>
                <w:p w:rsidR="00FC27A7" w:rsidRPr="0061372C" w:rsidRDefault="00FC27A7">
                  <w:pPr>
                    <w:jc w:val="center"/>
                  </w:pPr>
                  <w:r w:rsidRPr="0061372C">
                    <w:rPr>
                      <w:sz w:val="22"/>
                      <w:szCs w:val="22"/>
                    </w:rPr>
                    <w:t>тис.грн.</w:t>
                  </w:r>
                </w:p>
              </w:tc>
              <w:tc>
                <w:tcPr>
                  <w:tcW w:w="527" w:type="pct"/>
                  <w:shd w:val="clear" w:color="auto" w:fill="auto"/>
                  <w:hideMark/>
                </w:tcPr>
                <w:p w:rsidR="00FC27A7" w:rsidRPr="0061372C" w:rsidRDefault="00FC27A7">
                  <w:pPr>
                    <w:jc w:val="center"/>
                  </w:pPr>
                  <w:r w:rsidRPr="0061372C">
                    <w:rPr>
                      <w:sz w:val="22"/>
                      <w:szCs w:val="22"/>
                    </w:rPr>
                    <w:t>міський бюджет, кошторис</w:t>
                  </w:r>
                </w:p>
              </w:tc>
              <w:tc>
                <w:tcPr>
                  <w:tcW w:w="722" w:type="pct"/>
                  <w:shd w:val="clear" w:color="auto" w:fill="auto"/>
                  <w:vAlign w:val="center"/>
                  <w:hideMark/>
                </w:tcPr>
                <w:p w:rsidR="00FC27A7" w:rsidRPr="0061372C" w:rsidRDefault="00FC27A7">
                  <w:pPr>
                    <w:jc w:val="center"/>
                  </w:pPr>
                  <w:r w:rsidRPr="0061372C">
                    <w:rPr>
                      <w:sz w:val="22"/>
                      <w:szCs w:val="22"/>
                    </w:rPr>
                    <w:t>3948,845</w:t>
                  </w:r>
                </w:p>
              </w:tc>
              <w:tc>
                <w:tcPr>
                  <w:tcW w:w="577" w:type="pct"/>
                  <w:shd w:val="clear" w:color="auto" w:fill="auto"/>
                  <w:vAlign w:val="center"/>
                  <w:hideMark/>
                </w:tcPr>
                <w:p w:rsidR="00FC27A7" w:rsidRPr="0061372C" w:rsidRDefault="00FC27A7">
                  <w:pPr>
                    <w:jc w:val="center"/>
                  </w:pPr>
                  <w:r w:rsidRPr="0061372C">
                    <w:rPr>
                      <w:sz w:val="22"/>
                      <w:szCs w:val="22"/>
                    </w:rPr>
                    <w:t>3948,845</w:t>
                  </w:r>
                </w:p>
              </w:tc>
              <w:tc>
                <w:tcPr>
                  <w:tcW w:w="466" w:type="pct"/>
                  <w:shd w:val="clear" w:color="auto" w:fill="auto"/>
                  <w:noWrap/>
                  <w:vAlign w:val="center"/>
                  <w:hideMark/>
                </w:tcPr>
                <w:p w:rsidR="00FC27A7" w:rsidRPr="0061372C" w:rsidRDefault="00FC27A7">
                  <w:pPr>
                    <w:jc w:val="center"/>
                  </w:pPr>
                  <w:r w:rsidRPr="0061372C">
                    <w:rPr>
                      <w:sz w:val="22"/>
                      <w:szCs w:val="22"/>
                    </w:rPr>
                    <w:t>0,0</w:t>
                  </w:r>
                </w:p>
              </w:tc>
            </w:tr>
            <w:tr w:rsidR="00FC27A7" w:rsidRPr="0061372C" w:rsidTr="00FC27A7">
              <w:trPr>
                <w:trHeight w:val="300"/>
              </w:trPr>
              <w:tc>
                <w:tcPr>
                  <w:tcW w:w="166" w:type="pct"/>
                  <w:shd w:val="clear" w:color="auto" w:fill="auto"/>
                  <w:hideMark/>
                </w:tcPr>
                <w:p w:rsidR="00FC27A7" w:rsidRPr="0061372C" w:rsidRDefault="00FC27A7" w:rsidP="00EA349C">
                  <w:pPr>
                    <w:jc w:val="center"/>
                  </w:pPr>
                </w:p>
              </w:tc>
              <w:tc>
                <w:tcPr>
                  <w:tcW w:w="2199" w:type="pct"/>
                  <w:shd w:val="clear" w:color="auto" w:fill="auto"/>
                  <w:hideMark/>
                </w:tcPr>
                <w:p w:rsidR="00FC27A7" w:rsidRPr="0061372C" w:rsidRDefault="00FC27A7">
                  <w:pPr>
                    <w:rPr>
                      <w:i/>
                      <w:iCs/>
                    </w:rPr>
                  </w:pPr>
                  <w:r w:rsidRPr="0061372C">
                    <w:rPr>
                      <w:i/>
                      <w:iCs/>
                      <w:sz w:val="22"/>
                      <w:szCs w:val="22"/>
                    </w:rPr>
                    <w:t>Сума заборгованості, що підлягає безспірному списанню відповідно до рішень суду</w:t>
                  </w:r>
                </w:p>
              </w:tc>
              <w:tc>
                <w:tcPr>
                  <w:tcW w:w="343" w:type="pct"/>
                  <w:shd w:val="clear" w:color="auto" w:fill="auto"/>
                  <w:hideMark/>
                </w:tcPr>
                <w:p w:rsidR="00FC27A7" w:rsidRPr="0061372C" w:rsidRDefault="00FC27A7">
                  <w:pPr>
                    <w:jc w:val="center"/>
                    <w:rPr>
                      <w:i/>
                      <w:iCs/>
                    </w:rPr>
                  </w:pPr>
                  <w:r w:rsidRPr="0061372C">
                    <w:rPr>
                      <w:i/>
                      <w:iCs/>
                      <w:sz w:val="22"/>
                      <w:szCs w:val="22"/>
                    </w:rPr>
                    <w:t>тис.грн.</w:t>
                  </w:r>
                </w:p>
              </w:tc>
              <w:tc>
                <w:tcPr>
                  <w:tcW w:w="527" w:type="pct"/>
                  <w:shd w:val="clear" w:color="auto" w:fill="auto"/>
                  <w:hideMark/>
                </w:tcPr>
                <w:p w:rsidR="00FC27A7" w:rsidRPr="0061372C" w:rsidRDefault="00FC27A7">
                  <w:pPr>
                    <w:jc w:val="center"/>
                    <w:rPr>
                      <w:i/>
                      <w:iCs/>
                    </w:rPr>
                  </w:pPr>
                  <w:r w:rsidRPr="0061372C">
                    <w:rPr>
                      <w:i/>
                      <w:iCs/>
                      <w:sz w:val="22"/>
                      <w:szCs w:val="22"/>
                    </w:rPr>
                    <w:t>міський бюджет, кошторис</w:t>
                  </w:r>
                </w:p>
              </w:tc>
              <w:tc>
                <w:tcPr>
                  <w:tcW w:w="722" w:type="pct"/>
                  <w:shd w:val="clear" w:color="auto" w:fill="auto"/>
                  <w:vAlign w:val="center"/>
                  <w:hideMark/>
                </w:tcPr>
                <w:p w:rsidR="00FC27A7" w:rsidRPr="0061372C" w:rsidRDefault="00FC27A7">
                  <w:pPr>
                    <w:jc w:val="center"/>
                    <w:rPr>
                      <w:i/>
                      <w:iCs/>
                    </w:rPr>
                  </w:pPr>
                  <w:r w:rsidRPr="0061372C">
                    <w:rPr>
                      <w:i/>
                      <w:iCs/>
                      <w:sz w:val="22"/>
                      <w:szCs w:val="22"/>
                    </w:rPr>
                    <w:t>3890,488</w:t>
                  </w:r>
                </w:p>
              </w:tc>
              <w:tc>
                <w:tcPr>
                  <w:tcW w:w="577" w:type="pct"/>
                  <w:shd w:val="clear" w:color="auto" w:fill="auto"/>
                  <w:vAlign w:val="center"/>
                  <w:hideMark/>
                </w:tcPr>
                <w:p w:rsidR="00FC27A7" w:rsidRPr="0061372C" w:rsidRDefault="00FC27A7">
                  <w:pPr>
                    <w:jc w:val="center"/>
                    <w:rPr>
                      <w:i/>
                      <w:iCs/>
                    </w:rPr>
                  </w:pPr>
                  <w:r w:rsidRPr="0061372C">
                    <w:rPr>
                      <w:i/>
                      <w:iCs/>
                      <w:sz w:val="22"/>
                      <w:szCs w:val="22"/>
                    </w:rPr>
                    <w:t>3890,488</w:t>
                  </w:r>
                </w:p>
              </w:tc>
              <w:tc>
                <w:tcPr>
                  <w:tcW w:w="466" w:type="pct"/>
                  <w:shd w:val="clear" w:color="auto" w:fill="auto"/>
                  <w:noWrap/>
                  <w:vAlign w:val="center"/>
                  <w:hideMark/>
                </w:tcPr>
                <w:p w:rsidR="00FC27A7" w:rsidRPr="0061372C" w:rsidRDefault="00FC27A7">
                  <w:pPr>
                    <w:jc w:val="center"/>
                    <w:rPr>
                      <w:i/>
                      <w:iCs/>
                    </w:rPr>
                  </w:pPr>
                  <w:r w:rsidRPr="0061372C">
                    <w:rPr>
                      <w:i/>
                      <w:iCs/>
                      <w:sz w:val="22"/>
                      <w:szCs w:val="22"/>
                    </w:rPr>
                    <w:t>0,0</w:t>
                  </w:r>
                </w:p>
              </w:tc>
            </w:tr>
            <w:tr w:rsidR="00FC27A7" w:rsidRPr="0061372C" w:rsidTr="00FC27A7">
              <w:trPr>
                <w:trHeight w:val="300"/>
              </w:trPr>
              <w:tc>
                <w:tcPr>
                  <w:tcW w:w="166" w:type="pct"/>
                  <w:shd w:val="clear" w:color="auto" w:fill="auto"/>
                  <w:hideMark/>
                </w:tcPr>
                <w:p w:rsidR="00FC27A7" w:rsidRPr="0061372C" w:rsidRDefault="00FC27A7" w:rsidP="00EA349C">
                  <w:pPr>
                    <w:jc w:val="center"/>
                  </w:pPr>
                </w:p>
              </w:tc>
              <w:tc>
                <w:tcPr>
                  <w:tcW w:w="2199" w:type="pct"/>
                  <w:shd w:val="clear" w:color="auto" w:fill="auto"/>
                  <w:hideMark/>
                </w:tcPr>
                <w:p w:rsidR="00FC27A7" w:rsidRPr="0061372C" w:rsidRDefault="00FC27A7">
                  <w:pPr>
                    <w:rPr>
                      <w:i/>
                      <w:iCs/>
                    </w:rPr>
                  </w:pPr>
                  <w:r w:rsidRPr="0061372C">
                    <w:rPr>
                      <w:i/>
                      <w:iCs/>
                      <w:sz w:val="22"/>
                      <w:szCs w:val="22"/>
                    </w:rPr>
                    <w:t>Сума судового збору, виконавчого збору, штрафів та додаткових витрат, які виникли внаслідок несвоєчасного виконання чи невиконання рішення суду, та підлягають відшкодуванню</w:t>
                  </w:r>
                </w:p>
              </w:tc>
              <w:tc>
                <w:tcPr>
                  <w:tcW w:w="343" w:type="pct"/>
                  <w:shd w:val="clear" w:color="auto" w:fill="auto"/>
                  <w:hideMark/>
                </w:tcPr>
                <w:p w:rsidR="00FC27A7" w:rsidRPr="0061372C" w:rsidRDefault="00FC27A7">
                  <w:pPr>
                    <w:jc w:val="center"/>
                    <w:rPr>
                      <w:i/>
                      <w:iCs/>
                    </w:rPr>
                  </w:pPr>
                  <w:r w:rsidRPr="0061372C">
                    <w:rPr>
                      <w:i/>
                      <w:iCs/>
                      <w:sz w:val="22"/>
                      <w:szCs w:val="22"/>
                    </w:rPr>
                    <w:t>тис.грн.</w:t>
                  </w:r>
                </w:p>
              </w:tc>
              <w:tc>
                <w:tcPr>
                  <w:tcW w:w="527" w:type="pct"/>
                  <w:shd w:val="clear" w:color="auto" w:fill="auto"/>
                  <w:hideMark/>
                </w:tcPr>
                <w:p w:rsidR="00FC27A7" w:rsidRPr="0061372C" w:rsidRDefault="00FC27A7">
                  <w:pPr>
                    <w:jc w:val="center"/>
                    <w:rPr>
                      <w:i/>
                      <w:iCs/>
                    </w:rPr>
                  </w:pPr>
                  <w:r w:rsidRPr="0061372C">
                    <w:rPr>
                      <w:i/>
                      <w:iCs/>
                      <w:sz w:val="22"/>
                      <w:szCs w:val="22"/>
                    </w:rPr>
                    <w:t>міський бюджет, кошторис</w:t>
                  </w:r>
                </w:p>
              </w:tc>
              <w:tc>
                <w:tcPr>
                  <w:tcW w:w="722" w:type="pct"/>
                  <w:shd w:val="clear" w:color="auto" w:fill="auto"/>
                  <w:vAlign w:val="center"/>
                  <w:hideMark/>
                </w:tcPr>
                <w:p w:rsidR="00FC27A7" w:rsidRPr="0061372C" w:rsidRDefault="00FC27A7">
                  <w:pPr>
                    <w:jc w:val="center"/>
                    <w:rPr>
                      <w:i/>
                      <w:iCs/>
                    </w:rPr>
                  </w:pPr>
                  <w:r w:rsidRPr="0061372C">
                    <w:rPr>
                      <w:i/>
                      <w:iCs/>
                      <w:sz w:val="22"/>
                      <w:szCs w:val="22"/>
                    </w:rPr>
                    <w:t>58,357</w:t>
                  </w:r>
                </w:p>
              </w:tc>
              <w:tc>
                <w:tcPr>
                  <w:tcW w:w="577" w:type="pct"/>
                  <w:shd w:val="clear" w:color="auto" w:fill="auto"/>
                  <w:vAlign w:val="center"/>
                  <w:hideMark/>
                </w:tcPr>
                <w:p w:rsidR="00FC27A7" w:rsidRPr="0061372C" w:rsidRDefault="00FC27A7">
                  <w:pPr>
                    <w:jc w:val="center"/>
                    <w:rPr>
                      <w:i/>
                      <w:iCs/>
                    </w:rPr>
                  </w:pPr>
                  <w:r w:rsidRPr="0061372C">
                    <w:rPr>
                      <w:i/>
                      <w:iCs/>
                      <w:sz w:val="22"/>
                      <w:szCs w:val="22"/>
                    </w:rPr>
                    <w:t>58,357</w:t>
                  </w:r>
                </w:p>
              </w:tc>
              <w:tc>
                <w:tcPr>
                  <w:tcW w:w="466" w:type="pct"/>
                  <w:shd w:val="clear" w:color="auto" w:fill="auto"/>
                  <w:noWrap/>
                  <w:vAlign w:val="center"/>
                  <w:hideMark/>
                </w:tcPr>
                <w:p w:rsidR="00FC27A7" w:rsidRPr="0061372C" w:rsidRDefault="00FC27A7">
                  <w:pPr>
                    <w:jc w:val="center"/>
                    <w:rPr>
                      <w:i/>
                      <w:iCs/>
                    </w:rPr>
                  </w:pPr>
                  <w:r w:rsidRPr="0061372C">
                    <w:rPr>
                      <w:i/>
                      <w:iCs/>
                      <w:sz w:val="22"/>
                      <w:szCs w:val="22"/>
                    </w:rPr>
                    <w:t>0,0</w:t>
                  </w:r>
                </w:p>
              </w:tc>
            </w:tr>
            <w:tr w:rsidR="00A87376" w:rsidRPr="0061372C" w:rsidTr="00FC27A7">
              <w:trPr>
                <w:trHeight w:val="300"/>
              </w:trPr>
              <w:tc>
                <w:tcPr>
                  <w:tcW w:w="166" w:type="pct"/>
                  <w:shd w:val="clear" w:color="auto" w:fill="auto"/>
                  <w:hideMark/>
                </w:tcPr>
                <w:p w:rsidR="00A87376" w:rsidRPr="0061372C" w:rsidRDefault="00A87376" w:rsidP="00EA349C">
                  <w:pPr>
                    <w:jc w:val="center"/>
                  </w:pPr>
                  <w:r w:rsidRPr="0061372C">
                    <w:rPr>
                      <w:sz w:val="22"/>
                      <w:szCs w:val="22"/>
                    </w:rPr>
                    <w:t>2</w:t>
                  </w:r>
                </w:p>
              </w:tc>
              <w:tc>
                <w:tcPr>
                  <w:tcW w:w="2199" w:type="pct"/>
                  <w:shd w:val="clear" w:color="auto" w:fill="auto"/>
                  <w:hideMark/>
                </w:tcPr>
                <w:p w:rsidR="00A87376" w:rsidRPr="0061372C" w:rsidRDefault="00A87376" w:rsidP="00EA349C">
                  <w:pPr>
                    <w:rPr>
                      <w:b/>
                      <w:bCs/>
                      <w:i/>
                      <w:iCs/>
                    </w:rPr>
                  </w:pPr>
                  <w:r w:rsidRPr="0061372C">
                    <w:rPr>
                      <w:b/>
                      <w:bCs/>
                      <w:i/>
                      <w:iCs/>
                      <w:sz w:val="22"/>
                      <w:szCs w:val="22"/>
                    </w:rPr>
                    <w:t>продукту:</w:t>
                  </w:r>
                </w:p>
              </w:tc>
              <w:tc>
                <w:tcPr>
                  <w:tcW w:w="343" w:type="pct"/>
                  <w:shd w:val="clear" w:color="auto" w:fill="auto"/>
                  <w:hideMark/>
                </w:tcPr>
                <w:p w:rsidR="00A87376" w:rsidRPr="0061372C" w:rsidRDefault="00A87376" w:rsidP="00EA349C">
                  <w:pPr>
                    <w:rPr>
                      <w:b/>
                      <w:bCs/>
                      <w:i/>
                      <w:iCs/>
                    </w:rPr>
                  </w:pPr>
                  <w:r w:rsidRPr="0061372C">
                    <w:rPr>
                      <w:b/>
                      <w:bCs/>
                      <w:i/>
                      <w:iCs/>
                      <w:sz w:val="22"/>
                      <w:szCs w:val="22"/>
                    </w:rPr>
                    <w:t> </w:t>
                  </w:r>
                </w:p>
              </w:tc>
              <w:tc>
                <w:tcPr>
                  <w:tcW w:w="527" w:type="pct"/>
                  <w:shd w:val="clear" w:color="auto" w:fill="auto"/>
                  <w:hideMark/>
                </w:tcPr>
                <w:p w:rsidR="00A87376" w:rsidRPr="0061372C" w:rsidRDefault="00A87376" w:rsidP="00EA349C">
                  <w:pPr>
                    <w:rPr>
                      <w:b/>
                      <w:bCs/>
                      <w:i/>
                      <w:iCs/>
                    </w:rPr>
                  </w:pPr>
                  <w:r w:rsidRPr="0061372C">
                    <w:rPr>
                      <w:b/>
                      <w:bCs/>
                      <w:i/>
                      <w:iCs/>
                      <w:sz w:val="22"/>
                      <w:szCs w:val="22"/>
                    </w:rPr>
                    <w:t> </w:t>
                  </w:r>
                </w:p>
              </w:tc>
              <w:tc>
                <w:tcPr>
                  <w:tcW w:w="722" w:type="pct"/>
                  <w:shd w:val="clear" w:color="auto" w:fill="auto"/>
                  <w:hideMark/>
                </w:tcPr>
                <w:p w:rsidR="00A87376" w:rsidRPr="0061372C" w:rsidRDefault="00A87376" w:rsidP="00EA349C">
                  <w:pPr>
                    <w:rPr>
                      <w:b/>
                      <w:bCs/>
                      <w:i/>
                      <w:iCs/>
                    </w:rPr>
                  </w:pPr>
                  <w:r w:rsidRPr="0061372C">
                    <w:rPr>
                      <w:b/>
                      <w:bCs/>
                      <w:i/>
                      <w:iCs/>
                      <w:sz w:val="22"/>
                      <w:szCs w:val="22"/>
                    </w:rPr>
                    <w:t> </w:t>
                  </w:r>
                </w:p>
              </w:tc>
              <w:tc>
                <w:tcPr>
                  <w:tcW w:w="577" w:type="pct"/>
                  <w:shd w:val="clear" w:color="auto" w:fill="auto"/>
                  <w:hideMark/>
                </w:tcPr>
                <w:p w:rsidR="00A87376" w:rsidRPr="0061372C" w:rsidRDefault="00A87376" w:rsidP="00EA349C">
                  <w:pPr>
                    <w:rPr>
                      <w:b/>
                      <w:bCs/>
                      <w:i/>
                      <w:iCs/>
                    </w:rPr>
                  </w:pPr>
                  <w:r w:rsidRPr="0061372C">
                    <w:rPr>
                      <w:b/>
                      <w:bCs/>
                      <w:i/>
                      <w:iCs/>
                      <w:sz w:val="22"/>
                      <w:szCs w:val="22"/>
                    </w:rPr>
                    <w:t> </w:t>
                  </w:r>
                </w:p>
              </w:tc>
              <w:tc>
                <w:tcPr>
                  <w:tcW w:w="466" w:type="pct"/>
                  <w:shd w:val="clear" w:color="auto" w:fill="auto"/>
                  <w:noWrap/>
                  <w:vAlign w:val="bottom"/>
                  <w:hideMark/>
                </w:tcPr>
                <w:p w:rsidR="00A87376" w:rsidRPr="0061372C" w:rsidRDefault="00A87376" w:rsidP="00EA349C">
                  <w:r w:rsidRPr="0061372C">
                    <w:rPr>
                      <w:sz w:val="22"/>
                      <w:szCs w:val="22"/>
                    </w:rPr>
                    <w:t> </w:t>
                  </w:r>
                </w:p>
              </w:tc>
            </w:tr>
            <w:tr w:rsidR="00FC27A7" w:rsidRPr="0061372C" w:rsidTr="00FC27A7">
              <w:trPr>
                <w:trHeight w:val="300"/>
              </w:trPr>
              <w:tc>
                <w:tcPr>
                  <w:tcW w:w="166" w:type="pct"/>
                  <w:shd w:val="clear" w:color="auto" w:fill="auto"/>
                  <w:hideMark/>
                </w:tcPr>
                <w:p w:rsidR="00FC27A7" w:rsidRPr="0061372C" w:rsidRDefault="00FC27A7" w:rsidP="00EA349C">
                  <w:pPr>
                    <w:jc w:val="center"/>
                  </w:pPr>
                </w:p>
              </w:tc>
              <w:tc>
                <w:tcPr>
                  <w:tcW w:w="2199" w:type="pct"/>
                  <w:shd w:val="clear" w:color="auto" w:fill="auto"/>
                  <w:hideMark/>
                </w:tcPr>
                <w:p w:rsidR="00FC27A7" w:rsidRPr="0061372C" w:rsidRDefault="00FC27A7">
                  <w:r w:rsidRPr="0061372C">
                    <w:rPr>
                      <w:sz w:val="22"/>
                      <w:szCs w:val="22"/>
                    </w:rPr>
                    <w:t>Кількість рішень суду щодо безспірного списання коштів міського бюджету, боржниками по яких є виконавчі органи міської ради, бюджетні установи, заклади, організації та одержувачі бюджетних коштів, що взяті до виконання</w:t>
                  </w:r>
                </w:p>
              </w:tc>
              <w:tc>
                <w:tcPr>
                  <w:tcW w:w="343" w:type="pct"/>
                  <w:shd w:val="clear" w:color="auto" w:fill="auto"/>
                  <w:hideMark/>
                </w:tcPr>
                <w:p w:rsidR="00FC27A7" w:rsidRPr="0061372C" w:rsidRDefault="00FC27A7">
                  <w:pPr>
                    <w:jc w:val="center"/>
                  </w:pPr>
                  <w:r w:rsidRPr="0061372C">
                    <w:rPr>
                      <w:sz w:val="22"/>
                      <w:szCs w:val="22"/>
                    </w:rPr>
                    <w:t>од.</w:t>
                  </w:r>
                </w:p>
              </w:tc>
              <w:tc>
                <w:tcPr>
                  <w:tcW w:w="527" w:type="pct"/>
                  <w:shd w:val="clear" w:color="auto" w:fill="auto"/>
                  <w:hideMark/>
                </w:tcPr>
                <w:p w:rsidR="00FC27A7" w:rsidRPr="0061372C" w:rsidRDefault="00FC27A7">
                  <w:pPr>
                    <w:jc w:val="center"/>
                  </w:pPr>
                  <w:r w:rsidRPr="0061372C">
                    <w:rPr>
                      <w:sz w:val="22"/>
                      <w:szCs w:val="22"/>
                    </w:rPr>
                    <w:t>вхідна документація</w:t>
                  </w:r>
                </w:p>
              </w:tc>
              <w:tc>
                <w:tcPr>
                  <w:tcW w:w="722" w:type="pct"/>
                  <w:shd w:val="clear" w:color="auto" w:fill="auto"/>
                  <w:vAlign w:val="center"/>
                  <w:hideMark/>
                </w:tcPr>
                <w:p w:rsidR="00FC27A7" w:rsidRPr="0061372C" w:rsidRDefault="00FC27A7">
                  <w:pPr>
                    <w:jc w:val="center"/>
                  </w:pPr>
                  <w:r w:rsidRPr="0061372C">
                    <w:rPr>
                      <w:sz w:val="22"/>
                      <w:szCs w:val="22"/>
                    </w:rPr>
                    <w:t>1</w:t>
                  </w:r>
                </w:p>
              </w:tc>
              <w:tc>
                <w:tcPr>
                  <w:tcW w:w="577" w:type="pct"/>
                  <w:shd w:val="clear" w:color="auto" w:fill="auto"/>
                  <w:vAlign w:val="center"/>
                  <w:hideMark/>
                </w:tcPr>
                <w:p w:rsidR="00FC27A7" w:rsidRPr="0061372C" w:rsidRDefault="00FC27A7">
                  <w:pPr>
                    <w:jc w:val="center"/>
                  </w:pPr>
                  <w:r w:rsidRPr="0061372C">
                    <w:rPr>
                      <w:sz w:val="22"/>
                      <w:szCs w:val="22"/>
                    </w:rPr>
                    <w:t>1</w:t>
                  </w:r>
                </w:p>
              </w:tc>
              <w:tc>
                <w:tcPr>
                  <w:tcW w:w="466" w:type="pct"/>
                  <w:shd w:val="clear" w:color="auto" w:fill="auto"/>
                  <w:noWrap/>
                  <w:vAlign w:val="center"/>
                  <w:hideMark/>
                </w:tcPr>
                <w:p w:rsidR="00FC27A7" w:rsidRPr="0061372C" w:rsidRDefault="00FC27A7">
                  <w:pPr>
                    <w:jc w:val="center"/>
                  </w:pPr>
                  <w:r w:rsidRPr="0061372C">
                    <w:rPr>
                      <w:sz w:val="22"/>
                      <w:szCs w:val="22"/>
                    </w:rPr>
                    <w:t>0,0</w:t>
                  </w:r>
                </w:p>
              </w:tc>
            </w:tr>
            <w:tr w:rsidR="00A87376" w:rsidRPr="0061372C" w:rsidTr="00FC27A7">
              <w:trPr>
                <w:trHeight w:val="300"/>
              </w:trPr>
              <w:tc>
                <w:tcPr>
                  <w:tcW w:w="166" w:type="pct"/>
                  <w:shd w:val="clear" w:color="auto" w:fill="auto"/>
                  <w:hideMark/>
                </w:tcPr>
                <w:p w:rsidR="00A87376" w:rsidRPr="0061372C" w:rsidRDefault="00A87376" w:rsidP="00EA349C">
                  <w:pPr>
                    <w:jc w:val="center"/>
                  </w:pPr>
                  <w:r w:rsidRPr="0061372C">
                    <w:rPr>
                      <w:sz w:val="22"/>
                      <w:szCs w:val="22"/>
                    </w:rPr>
                    <w:t>3</w:t>
                  </w:r>
                </w:p>
              </w:tc>
              <w:tc>
                <w:tcPr>
                  <w:tcW w:w="2199" w:type="pct"/>
                  <w:shd w:val="clear" w:color="auto" w:fill="auto"/>
                  <w:hideMark/>
                </w:tcPr>
                <w:p w:rsidR="00A87376" w:rsidRPr="0061372C" w:rsidRDefault="00A87376" w:rsidP="00EA349C">
                  <w:pPr>
                    <w:rPr>
                      <w:b/>
                      <w:bCs/>
                      <w:i/>
                      <w:iCs/>
                    </w:rPr>
                  </w:pPr>
                  <w:r w:rsidRPr="0061372C">
                    <w:rPr>
                      <w:b/>
                      <w:bCs/>
                      <w:i/>
                      <w:iCs/>
                      <w:sz w:val="22"/>
                      <w:szCs w:val="22"/>
                    </w:rPr>
                    <w:t>ефективності:</w:t>
                  </w:r>
                </w:p>
              </w:tc>
              <w:tc>
                <w:tcPr>
                  <w:tcW w:w="343" w:type="pct"/>
                  <w:shd w:val="clear" w:color="auto" w:fill="auto"/>
                  <w:hideMark/>
                </w:tcPr>
                <w:p w:rsidR="00A87376" w:rsidRPr="0061372C" w:rsidRDefault="00A87376" w:rsidP="00EA349C">
                  <w:pPr>
                    <w:rPr>
                      <w:b/>
                      <w:bCs/>
                      <w:i/>
                      <w:iCs/>
                    </w:rPr>
                  </w:pPr>
                  <w:r w:rsidRPr="0061372C">
                    <w:rPr>
                      <w:b/>
                      <w:bCs/>
                      <w:i/>
                      <w:iCs/>
                      <w:sz w:val="22"/>
                      <w:szCs w:val="22"/>
                    </w:rPr>
                    <w:t> </w:t>
                  </w:r>
                </w:p>
              </w:tc>
              <w:tc>
                <w:tcPr>
                  <w:tcW w:w="527" w:type="pct"/>
                  <w:shd w:val="clear" w:color="auto" w:fill="auto"/>
                  <w:hideMark/>
                </w:tcPr>
                <w:p w:rsidR="00A87376" w:rsidRPr="0061372C" w:rsidRDefault="00A87376" w:rsidP="00EA349C">
                  <w:pPr>
                    <w:rPr>
                      <w:b/>
                      <w:bCs/>
                      <w:i/>
                      <w:iCs/>
                    </w:rPr>
                  </w:pPr>
                  <w:r w:rsidRPr="0061372C">
                    <w:rPr>
                      <w:b/>
                      <w:bCs/>
                      <w:i/>
                      <w:iCs/>
                      <w:sz w:val="22"/>
                      <w:szCs w:val="22"/>
                    </w:rPr>
                    <w:t> </w:t>
                  </w:r>
                </w:p>
              </w:tc>
              <w:tc>
                <w:tcPr>
                  <w:tcW w:w="722" w:type="pct"/>
                  <w:shd w:val="clear" w:color="auto" w:fill="auto"/>
                  <w:hideMark/>
                </w:tcPr>
                <w:p w:rsidR="00A87376" w:rsidRPr="0061372C" w:rsidRDefault="00A87376" w:rsidP="00EA349C">
                  <w:pPr>
                    <w:rPr>
                      <w:b/>
                      <w:bCs/>
                      <w:i/>
                      <w:iCs/>
                    </w:rPr>
                  </w:pPr>
                  <w:r w:rsidRPr="0061372C">
                    <w:rPr>
                      <w:b/>
                      <w:bCs/>
                      <w:i/>
                      <w:iCs/>
                      <w:sz w:val="22"/>
                      <w:szCs w:val="22"/>
                    </w:rPr>
                    <w:t> </w:t>
                  </w:r>
                </w:p>
              </w:tc>
              <w:tc>
                <w:tcPr>
                  <w:tcW w:w="577" w:type="pct"/>
                  <w:shd w:val="clear" w:color="auto" w:fill="auto"/>
                  <w:hideMark/>
                </w:tcPr>
                <w:p w:rsidR="00A87376" w:rsidRPr="0061372C" w:rsidRDefault="00A87376" w:rsidP="00EA349C">
                  <w:pPr>
                    <w:rPr>
                      <w:b/>
                      <w:bCs/>
                      <w:i/>
                      <w:iCs/>
                    </w:rPr>
                  </w:pPr>
                  <w:r w:rsidRPr="0061372C">
                    <w:rPr>
                      <w:b/>
                      <w:bCs/>
                      <w:i/>
                      <w:iCs/>
                      <w:sz w:val="22"/>
                      <w:szCs w:val="22"/>
                    </w:rPr>
                    <w:t> </w:t>
                  </w:r>
                </w:p>
              </w:tc>
              <w:tc>
                <w:tcPr>
                  <w:tcW w:w="466" w:type="pct"/>
                  <w:shd w:val="clear" w:color="auto" w:fill="auto"/>
                  <w:noWrap/>
                  <w:vAlign w:val="bottom"/>
                  <w:hideMark/>
                </w:tcPr>
                <w:p w:rsidR="00A87376" w:rsidRPr="0061372C" w:rsidRDefault="00A87376" w:rsidP="00EA349C">
                  <w:r w:rsidRPr="0061372C">
                    <w:rPr>
                      <w:sz w:val="22"/>
                      <w:szCs w:val="22"/>
                    </w:rPr>
                    <w:t> </w:t>
                  </w:r>
                </w:p>
              </w:tc>
            </w:tr>
            <w:tr w:rsidR="00FC27A7" w:rsidRPr="0061372C" w:rsidTr="00B91249">
              <w:trPr>
                <w:trHeight w:val="300"/>
              </w:trPr>
              <w:tc>
                <w:tcPr>
                  <w:tcW w:w="166" w:type="pct"/>
                  <w:shd w:val="clear" w:color="auto" w:fill="auto"/>
                  <w:hideMark/>
                </w:tcPr>
                <w:p w:rsidR="00FC27A7" w:rsidRPr="0061372C" w:rsidRDefault="00FC27A7" w:rsidP="00EA349C">
                  <w:pPr>
                    <w:jc w:val="center"/>
                  </w:pPr>
                </w:p>
              </w:tc>
              <w:tc>
                <w:tcPr>
                  <w:tcW w:w="2199" w:type="pct"/>
                  <w:shd w:val="clear" w:color="auto" w:fill="auto"/>
                  <w:hideMark/>
                </w:tcPr>
                <w:p w:rsidR="00FC27A7" w:rsidRPr="0061372C" w:rsidRDefault="00FC27A7">
                  <w:r w:rsidRPr="0061372C">
                    <w:rPr>
                      <w:sz w:val="22"/>
                      <w:szCs w:val="22"/>
                    </w:rPr>
                    <w:t>Середні видатки на виконання одного рішення суду</w:t>
                  </w:r>
                </w:p>
              </w:tc>
              <w:tc>
                <w:tcPr>
                  <w:tcW w:w="343" w:type="pct"/>
                  <w:shd w:val="clear" w:color="auto" w:fill="auto"/>
                  <w:hideMark/>
                </w:tcPr>
                <w:p w:rsidR="00FC27A7" w:rsidRPr="0061372C" w:rsidRDefault="00FC27A7">
                  <w:pPr>
                    <w:jc w:val="center"/>
                  </w:pPr>
                  <w:r w:rsidRPr="0061372C">
                    <w:rPr>
                      <w:sz w:val="22"/>
                      <w:szCs w:val="22"/>
                    </w:rPr>
                    <w:t>тис. грн.</w:t>
                  </w:r>
                </w:p>
              </w:tc>
              <w:tc>
                <w:tcPr>
                  <w:tcW w:w="527" w:type="pct"/>
                  <w:shd w:val="clear" w:color="auto" w:fill="auto"/>
                  <w:hideMark/>
                </w:tcPr>
                <w:p w:rsidR="00FC27A7" w:rsidRPr="0061372C" w:rsidRDefault="00FC27A7">
                  <w:pPr>
                    <w:jc w:val="center"/>
                  </w:pPr>
                  <w:r w:rsidRPr="0061372C">
                    <w:rPr>
                      <w:sz w:val="22"/>
                      <w:szCs w:val="22"/>
                    </w:rPr>
                    <w:t>розрахунок</w:t>
                  </w:r>
                </w:p>
              </w:tc>
              <w:tc>
                <w:tcPr>
                  <w:tcW w:w="722" w:type="pct"/>
                  <w:shd w:val="clear" w:color="auto" w:fill="auto"/>
                  <w:vAlign w:val="center"/>
                  <w:hideMark/>
                </w:tcPr>
                <w:p w:rsidR="00FC27A7" w:rsidRPr="0061372C" w:rsidRDefault="00FC27A7">
                  <w:pPr>
                    <w:jc w:val="center"/>
                  </w:pPr>
                  <w:r w:rsidRPr="0061372C">
                    <w:rPr>
                      <w:sz w:val="22"/>
                      <w:szCs w:val="22"/>
                    </w:rPr>
                    <w:t>3948,845</w:t>
                  </w:r>
                </w:p>
              </w:tc>
              <w:tc>
                <w:tcPr>
                  <w:tcW w:w="577" w:type="pct"/>
                  <w:shd w:val="clear" w:color="auto" w:fill="auto"/>
                  <w:vAlign w:val="center"/>
                  <w:hideMark/>
                </w:tcPr>
                <w:p w:rsidR="00FC27A7" w:rsidRPr="0061372C" w:rsidRDefault="00FC27A7">
                  <w:pPr>
                    <w:jc w:val="center"/>
                  </w:pPr>
                  <w:r w:rsidRPr="0061372C">
                    <w:rPr>
                      <w:sz w:val="22"/>
                      <w:szCs w:val="22"/>
                    </w:rPr>
                    <w:t>3948,845</w:t>
                  </w:r>
                </w:p>
              </w:tc>
              <w:tc>
                <w:tcPr>
                  <w:tcW w:w="466" w:type="pct"/>
                  <w:shd w:val="clear" w:color="auto" w:fill="auto"/>
                  <w:noWrap/>
                  <w:vAlign w:val="center"/>
                  <w:hideMark/>
                </w:tcPr>
                <w:p w:rsidR="00FC27A7" w:rsidRPr="0061372C" w:rsidRDefault="00FC27A7">
                  <w:pPr>
                    <w:jc w:val="center"/>
                  </w:pPr>
                  <w:r w:rsidRPr="0061372C">
                    <w:rPr>
                      <w:sz w:val="22"/>
                      <w:szCs w:val="22"/>
                    </w:rPr>
                    <w:t>0,0</w:t>
                  </w:r>
                </w:p>
              </w:tc>
            </w:tr>
            <w:tr w:rsidR="00A87376" w:rsidRPr="0061372C" w:rsidTr="00FC27A7">
              <w:trPr>
                <w:trHeight w:val="300"/>
              </w:trPr>
              <w:tc>
                <w:tcPr>
                  <w:tcW w:w="166" w:type="pct"/>
                  <w:shd w:val="clear" w:color="auto" w:fill="auto"/>
                  <w:hideMark/>
                </w:tcPr>
                <w:p w:rsidR="00A87376" w:rsidRPr="0061372C" w:rsidRDefault="00A87376" w:rsidP="00EA349C">
                  <w:pPr>
                    <w:jc w:val="center"/>
                  </w:pPr>
                  <w:r w:rsidRPr="0061372C">
                    <w:rPr>
                      <w:sz w:val="22"/>
                      <w:szCs w:val="22"/>
                    </w:rPr>
                    <w:t>4</w:t>
                  </w:r>
                </w:p>
              </w:tc>
              <w:tc>
                <w:tcPr>
                  <w:tcW w:w="2199" w:type="pct"/>
                  <w:shd w:val="clear" w:color="auto" w:fill="auto"/>
                  <w:hideMark/>
                </w:tcPr>
                <w:p w:rsidR="00A87376" w:rsidRPr="0061372C" w:rsidRDefault="00A87376" w:rsidP="00EA349C">
                  <w:pPr>
                    <w:rPr>
                      <w:b/>
                      <w:bCs/>
                      <w:i/>
                      <w:iCs/>
                    </w:rPr>
                  </w:pPr>
                  <w:r w:rsidRPr="0061372C">
                    <w:rPr>
                      <w:b/>
                      <w:bCs/>
                      <w:i/>
                      <w:iCs/>
                      <w:sz w:val="22"/>
                      <w:szCs w:val="22"/>
                    </w:rPr>
                    <w:t>якості:</w:t>
                  </w:r>
                </w:p>
              </w:tc>
              <w:tc>
                <w:tcPr>
                  <w:tcW w:w="343" w:type="pct"/>
                  <w:shd w:val="clear" w:color="auto" w:fill="auto"/>
                  <w:hideMark/>
                </w:tcPr>
                <w:p w:rsidR="00A87376" w:rsidRPr="0061372C" w:rsidRDefault="00A87376" w:rsidP="00EA349C">
                  <w:pPr>
                    <w:rPr>
                      <w:b/>
                      <w:bCs/>
                      <w:i/>
                      <w:iCs/>
                    </w:rPr>
                  </w:pPr>
                  <w:r w:rsidRPr="0061372C">
                    <w:rPr>
                      <w:b/>
                      <w:bCs/>
                      <w:i/>
                      <w:iCs/>
                      <w:sz w:val="22"/>
                      <w:szCs w:val="22"/>
                    </w:rPr>
                    <w:t> </w:t>
                  </w:r>
                </w:p>
              </w:tc>
              <w:tc>
                <w:tcPr>
                  <w:tcW w:w="527" w:type="pct"/>
                  <w:shd w:val="clear" w:color="auto" w:fill="auto"/>
                  <w:hideMark/>
                </w:tcPr>
                <w:p w:rsidR="00A87376" w:rsidRPr="0061372C" w:rsidRDefault="00A87376" w:rsidP="00EA349C">
                  <w:pPr>
                    <w:rPr>
                      <w:b/>
                      <w:bCs/>
                      <w:i/>
                      <w:iCs/>
                    </w:rPr>
                  </w:pPr>
                  <w:r w:rsidRPr="0061372C">
                    <w:rPr>
                      <w:b/>
                      <w:bCs/>
                      <w:i/>
                      <w:iCs/>
                      <w:sz w:val="22"/>
                      <w:szCs w:val="22"/>
                    </w:rPr>
                    <w:t> </w:t>
                  </w:r>
                </w:p>
              </w:tc>
              <w:tc>
                <w:tcPr>
                  <w:tcW w:w="722" w:type="pct"/>
                  <w:shd w:val="clear" w:color="auto" w:fill="auto"/>
                  <w:hideMark/>
                </w:tcPr>
                <w:p w:rsidR="00A87376" w:rsidRPr="0061372C" w:rsidRDefault="00A87376" w:rsidP="00EA349C">
                  <w:pPr>
                    <w:rPr>
                      <w:b/>
                      <w:bCs/>
                      <w:i/>
                      <w:iCs/>
                    </w:rPr>
                  </w:pPr>
                  <w:r w:rsidRPr="0061372C">
                    <w:rPr>
                      <w:b/>
                      <w:bCs/>
                      <w:i/>
                      <w:iCs/>
                      <w:sz w:val="22"/>
                      <w:szCs w:val="22"/>
                    </w:rPr>
                    <w:t> </w:t>
                  </w:r>
                </w:p>
              </w:tc>
              <w:tc>
                <w:tcPr>
                  <w:tcW w:w="577" w:type="pct"/>
                  <w:shd w:val="clear" w:color="auto" w:fill="auto"/>
                  <w:hideMark/>
                </w:tcPr>
                <w:p w:rsidR="00A87376" w:rsidRPr="0061372C" w:rsidRDefault="00A87376" w:rsidP="00EA349C">
                  <w:pPr>
                    <w:rPr>
                      <w:b/>
                      <w:bCs/>
                      <w:i/>
                      <w:iCs/>
                    </w:rPr>
                  </w:pPr>
                  <w:r w:rsidRPr="0061372C">
                    <w:rPr>
                      <w:b/>
                      <w:bCs/>
                      <w:i/>
                      <w:iCs/>
                      <w:sz w:val="22"/>
                      <w:szCs w:val="22"/>
                    </w:rPr>
                    <w:t> </w:t>
                  </w:r>
                </w:p>
              </w:tc>
              <w:tc>
                <w:tcPr>
                  <w:tcW w:w="466" w:type="pct"/>
                  <w:shd w:val="clear" w:color="auto" w:fill="auto"/>
                  <w:noWrap/>
                  <w:vAlign w:val="bottom"/>
                  <w:hideMark/>
                </w:tcPr>
                <w:p w:rsidR="00A87376" w:rsidRPr="0061372C" w:rsidRDefault="00A87376" w:rsidP="00EA349C">
                  <w:r w:rsidRPr="0061372C">
                    <w:rPr>
                      <w:sz w:val="22"/>
                      <w:szCs w:val="22"/>
                    </w:rPr>
                    <w:t> </w:t>
                  </w:r>
                </w:p>
              </w:tc>
            </w:tr>
            <w:tr w:rsidR="00FC27A7" w:rsidRPr="0061372C" w:rsidTr="00FC2E0E">
              <w:trPr>
                <w:trHeight w:val="600"/>
              </w:trPr>
              <w:tc>
                <w:tcPr>
                  <w:tcW w:w="166" w:type="pct"/>
                  <w:shd w:val="clear" w:color="auto" w:fill="auto"/>
                  <w:hideMark/>
                </w:tcPr>
                <w:p w:rsidR="00FC27A7" w:rsidRPr="0061372C" w:rsidRDefault="00FC27A7" w:rsidP="00EA349C">
                  <w:pPr>
                    <w:jc w:val="center"/>
                  </w:pPr>
                  <w:r w:rsidRPr="0061372C">
                    <w:rPr>
                      <w:sz w:val="22"/>
                      <w:szCs w:val="22"/>
                    </w:rPr>
                    <w:t> </w:t>
                  </w:r>
                </w:p>
              </w:tc>
              <w:tc>
                <w:tcPr>
                  <w:tcW w:w="2199" w:type="pct"/>
                  <w:shd w:val="clear" w:color="auto" w:fill="auto"/>
                  <w:hideMark/>
                </w:tcPr>
                <w:p w:rsidR="00FC27A7" w:rsidRPr="0061372C" w:rsidRDefault="00FC27A7">
                  <w:r w:rsidRPr="0061372C">
                    <w:rPr>
                      <w:sz w:val="22"/>
                      <w:szCs w:val="22"/>
                    </w:rPr>
                    <w:t>Відсоток фактичного погашення сум, що підлягають безспірному списанню відповідно до рішення суду</w:t>
                  </w:r>
                </w:p>
              </w:tc>
              <w:tc>
                <w:tcPr>
                  <w:tcW w:w="343" w:type="pct"/>
                  <w:shd w:val="clear" w:color="auto" w:fill="auto"/>
                  <w:hideMark/>
                </w:tcPr>
                <w:p w:rsidR="00FC27A7" w:rsidRPr="0061372C" w:rsidRDefault="00FC27A7">
                  <w:pPr>
                    <w:jc w:val="center"/>
                  </w:pPr>
                  <w:r w:rsidRPr="0061372C">
                    <w:rPr>
                      <w:sz w:val="22"/>
                      <w:szCs w:val="22"/>
                    </w:rPr>
                    <w:t>%</w:t>
                  </w:r>
                </w:p>
              </w:tc>
              <w:tc>
                <w:tcPr>
                  <w:tcW w:w="527" w:type="pct"/>
                  <w:shd w:val="clear" w:color="auto" w:fill="auto"/>
                  <w:hideMark/>
                </w:tcPr>
                <w:p w:rsidR="00FC27A7" w:rsidRPr="0061372C" w:rsidRDefault="00FC27A7">
                  <w:pPr>
                    <w:jc w:val="center"/>
                  </w:pPr>
                  <w:r w:rsidRPr="0061372C">
                    <w:rPr>
                      <w:sz w:val="22"/>
                      <w:szCs w:val="22"/>
                    </w:rPr>
                    <w:t>розрахунок</w:t>
                  </w:r>
                </w:p>
              </w:tc>
              <w:tc>
                <w:tcPr>
                  <w:tcW w:w="722" w:type="pct"/>
                  <w:shd w:val="clear" w:color="auto" w:fill="auto"/>
                  <w:noWrap/>
                  <w:vAlign w:val="center"/>
                  <w:hideMark/>
                </w:tcPr>
                <w:p w:rsidR="00FC27A7" w:rsidRPr="0061372C" w:rsidRDefault="00FC27A7">
                  <w:pPr>
                    <w:jc w:val="center"/>
                  </w:pPr>
                  <w:r w:rsidRPr="0061372C">
                    <w:rPr>
                      <w:sz w:val="22"/>
                      <w:szCs w:val="22"/>
                    </w:rPr>
                    <w:t>100,0</w:t>
                  </w:r>
                </w:p>
              </w:tc>
              <w:tc>
                <w:tcPr>
                  <w:tcW w:w="577" w:type="pct"/>
                  <w:shd w:val="clear" w:color="auto" w:fill="auto"/>
                  <w:noWrap/>
                  <w:vAlign w:val="center"/>
                  <w:hideMark/>
                </w:tcPr>
                <w:p w:rsidR="00FC27A7" w:rsidRPr="0061372C" w:rsidRDefault="00FC27A7">
                  <w:pPr>
                    <w:jc w:val="center"/>
                  </w:pPr>
                  <w:r w:rsidRPr="0061372C">
                    <w:rPr>
                      <w:sz w:val="22"/>
                      <w:szCs w:val="22"/>
                    </w:rPr>
                    <w:t>100,0</w:t>
                  </w:r>
                </w:p>
              </w:tc>
              <w:tc>
                <w:tcPr>
                  <w:tcW w:w="466" w:type="pct"/>
                  <w:shd w:val="clear" w:color="auto" w:fill="auto"/>
                  <w:noWrap/>
                  <w:vAlign w:val="center"/>
                  <w:hideMark/>
                </w:tcPr>
                <w:p w:rsidR="00FC27A7" w:rsidRPr="0061372C" w:rsidRDefault="00FC27A7">
                  <w:pPr>
                    <w:jc w:val="center"/>
                  </w:pPr>
                  <w:r w:rsidRPr="0061372C">
                    <w:rPr>
                      <w:sz w:val="22"/>
                      <w:szCs w:val="22"/>
                    </w:rPr>
                    <w:t>0,0</w:t>
                  </w:r>
                </w:p>
              </w:tc>
            </w:tr>
            <w:tr w:rsidR="00A87376" w:rsidRPr="0061372C" w:rsidTr="00EA349C">
              <w:trPr>
                <w:trHeight w:val="570"/>
              </w:trPr>
              <w:tc>
                <w:tcPr>
                  <w:tcW w:w="166" w:type="pct"/>
                  <w:tcBorders>
                    <w:bottom w:val="single" w:sz="4" w:space="0" w:color="auto"/>
                  </w:tcBorders>
                  <w:shd w:val="clear" w:color="auto" w:fill="auto"/>
                  <w:hideMark/>
                </w:tcPr>
                <w:p w:rsidR="00A87376" w:rsidRPr="0061372C" w:rsidRDefault="00A87376" w:rsidP="00EA349C">
                  <w:pPr>
                    <w:jc w:val="center"/>
                    <w:rPr>
                      <w:i/>
                      <w:iCs/>
                    </w:rPr>
                  </w:pPr>
                  <w:r w:rsidRPr="0061372C">
                    <w:rPr>
                      <w:i/>
                      <w:iCs/>
                      <w:sz w:val="22"/>
                      <w:szCs w:val="22"/>
                    </w:rPr>
                    <w:t> </w:t>
                  </w:r>
                </w:p>
              </w:tc>
              <w:tc>
                <w:tcPr>
                  <w:tcW w:w="4834" w:type="pct"/>
                  <w:gridSpan w:val="6"/>
                  <w:tcBorders>
                    <w:bottom w:val="single" w:sz="4" w:space="0" w:color="auto"/>
                  </w:tcBorders>
                  <w:shd w:val="clear" w:color="auto" w:fill="auto"/>
                  <w:hideMark/>
                </w:tcPr>
                <w:p w:rsidR="00A87376" w:rsidRPr="0061372C" w:rsidRDefault="00A87376" w:rsidP="00FC27A7">
                  <w:pPr>
                    <w:rPr>
                      <w:i/>
                      <w:iCs/>
                    </w:rPr>
                  </w:pPr>
                  <w:r w:rsidRPr="0061372C">
                    <w:rPr>
                      <w:i/>
                      <w:iCs/>
                      <w:sz w:val="22"/>
                      <w:szCs w:val="22"/>
                    </w:rPr>
                    <w:t xml:space="preserve">Аналіз стану виконання результативних показників: Показники, що характеризують виконання бюджетної програми, за звітний період виконані на </w:t>
                  </w:r>
                  <w:r w:rsidR="00FC27A7" w:rsidRPr="0061372C">
                    <w:rPr>
                      <w:i/>
                      <w:iCs/>
                      <w:sz w:val="22"/>
                      <w:szCs w:val="22"/>
                    </w:rPr>
                    <w:t>100 відсотків</w:t>
                  </w:r>
                  <w:r w:rsidRPr="0061372C">
                    <w:rPr>
                      <w:i/>
                      <w:iCs/>
                      <w:sz w:val="22"/>
                      <w:szCs w:val="22"/>
                    </w:rPr>
                    <w:t>.</w:t>
                  </w:r>
                </w:p>
              </w:tc>
            </w:tr>
          </w:tbl>
          <w:p w:rsidR="00A87376" w:rsidRPr="0061372C" w:rsidRDefault="00A87376" w:rsidP="00EA349C">
            <w:pPr>
              <w:jc w:val="center"/>
            </w:pPr>
          </w:p>
          <w:p w:rsidR="00A87376" w:rsidRPr="0061372C" w:rsidRDefault="00A87376" w:rsidP="00EA349C">
            <w:pPr>
              <w:ind w:firstLine="11482"/>
            </w:pPr>
          </w:p>
        </w:tc>
      </w:tr>
    </w:tbl>
    <w:p w:rsidR="008F0DAE" w:rsidRPr="0061372C" w:rsidRDefault="008F0DAE" w:rsidP="008F0DAE">
      <w:pPr>
        <w:jc w:val="both"/>
        <w:rPr>
          <w:sz w:val="28"/>
          <w:szCs w:val="28"/>
        </w:rPr>
      </w:pPr>
    </w:p>
    <w:sectPr w:rsidR="008F0DAE" w:rsidRPr="0061372C" w:rsidSect="00A87376">
      <w:pgSz w:w="16838" w:h="11906" w:orient="landscape"/>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1508"/>
    <w:multiLevelType w:val="multilevel"/>
    <w:tmpl w:val="321234D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8E27BC2"/>
    <w:multiLevelType w:val="hybridMultilevel"/>
    <w:tmpl w:val="3AE240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10103B7"/>
    <w:multiLevelType w:val="hybridMultilevel"/>
    <w:tmpl w:val="53F08ACA"/>
    <w:lvl w:ilvl="0" w:tplc="D7A443B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4D1018DD"/>
    <w:multiLevelType w:val="hybridMultilevel"/>
    <w:tmpl w:val="E4426BC4"/>
    <w:lvl w:ilvl="0" w:tplc="78B2AE94">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8F0DAE"/>
    <w:rsid w:val="00003437"/>
    <w:rsid w:val="0004063C"/>
    <w:rsid w:val="00043F21"/>
    <w:rsid w:val="00046030"/>
    <w:rsid w:val="0006093A"/>
    <w:rsid w:val="0006444D"/>
    <w:rsid w:val="0006603E"/>
    <w:rsid w:val="00066CE8"/>
    <w:rsid w:val="00073A25"/>
    <w:rsid w:val="000864C7"/>
    <w:rsid w:val="000B098A"/>
    <w:rsid w:val="000C3D58"/>
    <w:rsid w:val="000E26B9"/>
    <w:rsid w:val="001358AD"/>
    <w:rsid w:val="0014505B"/>
    <w:rsid w:val="001A07F2"/>
    <w:rsid w:val="001D024A"/>
    <w:rsid w:val="001D0690"/>
    <w:rsid w:val="001F7388"/>
    <w:rsid w:val="0021573C"/>
    <w:rsid w:val="002951D0"/>
    <w:rsid w:val="002B604D"/>
    <w:rsid w:val="002B6E09"/>
    <w:rsid w:val="002D1583"/>
    <w:rsid w:val="002E5EF2"/>
    <w:rsid w:val="002F13B7"/>
    <w:rsid w:val="003038A2"/>
    <w:rsid w:val="003155F2"/>
    <w:rsid w:val="0034127B"/>
    <w:rsid w:val="00344E96"/>
    <w:rsid w:val="003D687A"/>
    <w:rsid w:val="003F7396"/>
    <w:rsid w:val="004253D7"/>
    <w:rsid w:val="004263DB"/>
    <w:rsid w:val="004A30F0"/>
    <w:rsid w:val="004B4882"/>
    <w:rsid w:val="005171C0"/>
    <w:rsid w:val="00537A97"/>
    <w:rsid w:val="00581266"/>
    <w:rsid w:val="005D3706"/>
    <w:rsid w:val="0061372C"/>
    <w:rsid w:val="00625F3F"/>
    <w:rsid w:val="00627DF3"/>
    <w:rsid w:val="00687197"/>
    <w:rsid w:val="006B4FDF"/>
    <w:rsid w:val="006C6967"/>
    <w:rsid w:val="006E2EB5"/>
    <w:rsid w:val="00707F49"/>
    <w:rsid w:val="00723463"/>
    <w:rsid w:val="00750D7B"/>
    <w:rsid w:val="0079349B"/>
    <w:rsid w:val="007A6658"/>
    <w:rsid w:val="00833CA9"/>
    <w:rsid w:val="008373B1"/>
    <w:rsid w:val="00877639"/>
    <w:rsid w:val="008A13D7"/>
    <w:rsid w:val="008A4EE7"/>
    <w:rsid w:val="008D3B6D"/>
    <w:rsid w:val="008F0DAE"/>
    <w:rsid w:val="0090015B"/>
    <w:rsid w:val="009002EA"/>
    <w:rsid w:val="009227DF"/>
    <w:rsid w:val="0093394E"/>
    <w:rsid w:val="00937FF9"/>
    <w:rsid w:val="00966B59"/>
    <w:rsid w:val="00987BE9"/>
    <w:rsid w:val="00A53AE1"/>
    <w:rsid w:val="00A87376"/>
    <w:rsid w:val="00AE2E3B"/>
    <w:rsid w:val="00AE2FD0"/>
    <w:rsid w:val="00B70051"/>
    <w:rsid w:val="00C02B41"/>
    <w:rsid w:val="00C53A31"/>
    <w:rsid w:val="00C540CA"/>
    <w:rsid w:val="00CB740D"/>
    <w:rsid w:val="00CC38AA"/>
    <w:rsid w:val="00CC435C"/>
    <w:rsid w:val="00D172B6"/>
    <w:rsid w:val="00D90406"/>
    <w:rsid w:val="00DA64A5"/>
    <w:rsid w:val="00E117DB"/>
    <w:rsid w:val="00E953B4"/>
    <w:rsid w:val="00EC08CA"/>
    <w:rsid w:val="00EE534A"/>
    <w:rsid w:val="00EF34DA"/>
    <w:rsid w:val="00F11146"/>
    <w:rsid w:val="00F261B5"/>
    <w:rsid w:val="00F81738"/>
    <w:rsid w:val="00F82F84"/>
    <w:rsid w:val="00F927C6"/>
    <w:rsid w:val="00F9747A"/>
    <w:rsid w:val="00FC2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DAE"/>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2951D0"/>
    <w:pPr>
      <w:keepNext/>
      <w:spacing w:before="240" w:after="60"/>
      <w:outlineLvl w:val="0"/>
    </w:pPr>
    <w:rPr>
      <w:rFonts w:ascii="Cambria" w:hAnsi="Cambria"/>
      <w:b/>
      <w:bCs/>
      <w:kern w:val="32"/>
      <w:sz w:val="32"/>
      <w:szCs w:val="3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F0DAE"/>
    <w:rPr>
      <w:color w:val="0000FF"/>
      <w:u w:val="single"/>
    </w:rPr>
  </w:style>
  <w:style w:type="paragraph" w:customStyle="1" w:styleId="western">
    <w:name w:val="western"/>
    <w:basedOn w:val="a"/>
    <w:rsid w:val="008F0DAE"/>
    <w:pPr>
      <w:spacing w:before="100" w:beforeAutospacing="1" w:after="100" w:afterAutospacing="1"/>
    </w:pPr>
    <w:rPr>
      <w:lang w:val="ru-RU" w:eastAsia="ru-RU"/>
    </w:rPr>
  </w:style>
  <w:style w:type="paragraph" w:styleId="a4">
    <w:name w:val="Normal (Web)"/>
    <w:basedOn w:val="a"/>
    <w:uiPriority w:val="99"/>
    <w:rsid w:val="002951D0"/>
    <w:rPr>
      <w:rFonts w:ascii="Verdana" w:hAnsi="Verdana"/>
      <w:sz w:val="17"/>
      <w:szCs w:val="17"/>
      <w:lang w:val="ru-RU" w:eastAsia="ru-RU"/>
    </w:rPr>
  </w:style>
  <w:style w:type="character" w:customStyle="1" w:styleId="10">
    <w:name w:val="Заголовок 1 Знак"/>
    <w:basedOn w:val="a0"/>
    <w:link w:val="1"/>
    <w:rsid w:val="002951D0"/>
    <w:rPr>
      <w:rFonts w:ascii="Cambria" w:eastAsia="Times New Roman" w:hAnsi="Cambria" w:cs="Times New Roman"/>
      <w:b/>
      <w:bCs/>
      <w:kern w:val="32"/>
      <w:sz w:val="32"/>
      <w:szCs w:val="32"/>
    </w:rPr>
  </w:style>
  <w:style w:type="character" w:styleId="a5">
    <w:name w:val="Strong"/>
    <w:basedOn w:val="a0"/>
    <w:uiPriority w:val="22"/>
    <w:qFormat/>
    <w:rsid w:val="005D3706"/>
    <w:rPr>
      <w:b/>
      <w:bCs/>
    </w:rPr>
  </w:style>
  <w:style w:type="character" w:customStyle="1" w:styleId="rvts0">
    <w:name w:val="rvts0"/>
    <w:basedOn w:val="a0"/>
    <w:rsid w:val="003155F2"/>
  </w:style>
  <w:style w:type="character" w:customStyle="1" w:styleId="rvts23">
    <w:name w:val="rvts23"/>
    <w:basedOn w:val="a0"/>
    <w:rsid w:val="00F81738"/>
  </w:style>
  <w:style w:type="paragraph" w:styleId="a6">
    <w:name w:val="Plain Text"/>
    <w:basedOn w:val="a"/>
    <w:link w:val="a7"/>
    <w:rsid w:val="00A87376"/>
    <w:rPr>
      <w:rFonts w:ascii="Courier New" w:hAnsi="Courier New"/>
      <w:sz w:val="20"/>
      <w:szCs w:val="20"/>
      <w:lang w:eastAsia="ru-RU"/>
    </w:rPr>
  </w:style>
  <w:style w:type="character" w:customStyle="1" w:styleId="a7">
    <w:name w:val="Текст Знак"/>
    <w:basedOn w:val="a0"/>
    <w:link w:val="a6"/>
    <w:rsid w:val="00A87376"/>
    <w:rPr>
      <w:rFonts w:ascii="Courier New" w:eastAsia="Times New Roman" w:hAnsi="Courier New" w:cs="Times New Roman"/>
      <w:sz w:val="20"/>
      <w:szCs w:val="20"/>
      <w:lang w:val="uk-UA" w:eastAsia="ru-RU"/>
    </w:rPr>
  </w:style>
  <w:style w:type="paragraph" w:styleId="a8">
    <w:name w:val="Balloon Text"/>
    <w:basedOn w:val="a"/>
    <w:link w:val="a9"/>
    <w:uiPriority w:val="99"/>
    <w:semiHidden/>
    <w:unhideWhenUsed/>
    <w:rsid w:val="00D172B6"/>
    <w:rPr>
      <w:rFonts w:ascii="Tahoma" w:hAnsi="Tahoma" w:cs="Tahoma"/>
      <w:sz w:val="16"/>
      <w:szCs w:val="16"/>
    </w:rPr>
  </w:style>
  <w:style w:type="character" w:customStyle="1" w:styleId="a9">
    <w:name w:val="Текст выноски Знак"/>
    <w:basedOn w:val="a0"/>
    <w:link w:val="a8"/>
    <w:uiPriority w:val="99"/>
    <w:semiHidden/>
    <w:rsid w:val="00D172B6"/>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972518">
      <w:bodyDiv w:val="1"/>
      <w:marLeft w:val="0"/>
      <w:marRight w:val="0"/>
      <w:marTop w:val="0"/>
      <w:marBottom w:val="0"/>
      <w:divBdr>
        <w:top w:val="none" w:sz="0" w:space="0" w:color="auto"/>
        <w:left w:val="none" w:sz="0" w:space="0" w:color="auto"/>
        <w:bottom w:val="none" w:sz="0" w:space="0" w:color="auto"/>
        <w:right w:val="none" w:sz="0" w:space="0" w:color="auto"/>
      </w:divBdr>
    </w:div>
    <w:div w:id="209397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mr.gov.ua/myrada/html/234399.php?id=234399" TargetMode="External"/><Relationship Id="rId13" Type="http://schemas.openxmlformats.org/officeDocument/2006/relationships/image" Target="media/image3.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hmr.gov.ua/myrada/html/234399.php?id=234399" TargetMode="External"/><Relationship Id="rId12" Type="http://schemas.openxmlformats.org/officeDocument/2006/relationships/hyperlink" Target="http://chmr.gov.ua/myrada/html/234399.php?id=234399" TargetMode="External"/><Relationship Id="rId17" Type="http://schemas.openxmlformats.org/officeDocument/2006/relationships/hyperlink" Target="https://zakon.rada.gov.ua/laws/show/553-20" TargetMode="External"/><Relationship Id="rId2" Type="http://schemas.openxmlformats.org/officeDocument/2006/relationships/styles" Target="styles.xml"/><Relationship Id="rId16" Type="http://schemas.openxmlformats.org/officeDocument/2006/relationships/hyperlink" Target="http://chmr.gov.ua/myrada/html/234399.php?id=234399"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chmr.gov.ua/myrada/html/234399.php?id=234399" TargetMode="External"/><Relationship Id="rId5" Type="http://schemas.openxmlformats.org/officeDocument/2006/relationships/webSettings" Target="webSettings.xml"/><Relationship Id="rId15" Type="http://schemas.openxmlformats.org/officeDocument/2006/relationships/hyperlink" Target="mailto:dozmpchmr@gmail.com"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2080</Words>
  <Characters>11858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Гаврилова Жанна</cp:lastModifiedBy>
  <cp:revision>69</cp:revision>
  <cp:lastPrinted>2020-09-03T07:03:00Z</cp:lastPrinted>
  <dcterms:created xsi:type="dcterms:W3CDTF">2020-04-23T11:16:00Z</dcterms:created>
  <dcterms:modified xsi:type="dcterms:W3CDTF">2020-09-18T06:22:00Z</dcterms:modified>
</cp:coreProperties>
</file>